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50"/>
        <w:jc w:val="center"/>
        <w:rPr>
          <w:rFonts w:ascii="Arial" w:cs="Arial" w:eastAsia="Arial" w:hAnsi="Arial"/>
          <w:b/>
          <w:bCs/>
          <w:color w:val="1A1A2E"/>
          <w:sz w:val="28"/>
          <w:szCs w:val="28"/>
        </w:rPr>
      </w:pPr>
      <w:r>
        <w:t xml:space="preserve">TAX-FREE INCOME STRATEGY GUIDE</w:t>
      </w:r>
    </w:p>
    <w:p>
      <w:pPr>
        <w:spacing w:after="400"/>
        <w:jc w:val="center"/>
        <w:rPr>
          <w:rFonts w:ascii="Arial" w:cs="Arial" w:eastAsia="Arial" w:hAnsi="Arial"/>
          <w:color w:val="E94560"/>
          <w:sz w:val="24"/>
          <w:szCs w:val="24"/>
        </w:rPr>
      </w:pPr>
      <w:r>
        <w:t xml:space="preserve">Maximizing Your VA Compensation Advantage</w:t>
      </w:r>
    </w:p>
    <w:p>
      <w:pPr>
        <w:spacing w:after="100" w:before="200"/>
        <w:rPr>
          <w:rFonts w:ascii="Arial" w:cs="Arial" w:eastAsia="Arial" w:hAnsi="Arial"/>
          <w:b/>
          <w:bCs/>
          <w:color w:val="0F3460"/>
          <w:sz w:val="24"/>
          <w:szCs w:val="24"/>
        </w:rPr>
      </w:pPr>
      <w:r>
        <w:t xml:space="preserve">The Tax-Equivalent Value</w:t>
      </w:r>
    </w:p>
    <w:p>
      <w:pPr>
        <w:spacing w:after="150"/>
        <w:rPr>
          <w:rFonts w:ascii="Arial" w:cs="Arial" w:eastAsia="Arial" w:hAnsi="Arial"/>
          <w:sz w:val="22"/>
          <w:szCs w:val="22"/>
        </w:rPr>
      </w:pPr>
      <w:r>
        <w:t xml:space="preserve">Understanding what your tax-free VA income is truly worth requires calculating its equivalent taxable income. Use this formula:</w:t>
      </w:r>
    </w:p>
    <w:p>
      <w:pPr>
        <w:spacing w:after="250"/>
        <w:jc w:val="center"/>
        <w:rPr>
          <w:rFonts w:ascii="Arial" w:cs="Arial" w:eastAsia="Arial" w:hAnsi="Arial"/>
          <w:b/>
          <w:bCs/>
          <w:color w:val="E94560"/>
          <w:sz w:val="22"/>
          <w:szCs w:val="22"/>
        </w:rPr>
      </w:pPr>
      <w:r>
        <w:t xml:space="preserve">Tax-Free Income ÷ (1 - Marginal Tax Rate) = Equivalent Taxable Income</w:t>
      </w:r>
    </w:p>
    <w:p>
      <w:pPr>
        <w:spacing w:after="100"/>
        <w:rPr>
          <w:rFonts w:ascii="Arial" w:cs="Arial" w:eastAsia="Arial" w:hAnsi="Arial"/>
          <w:b/>
          <w:bCs/>
          <w:sz w:val="22"/>
          <w:szCs w:val="22"/>
        </w:rPr>
      </w:pPr>
      <w:r>
        <w:t xml:space="preserve">Tax-Free Income Equivalent at Different Tax Brackets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c>
          <w:tcPr>
            <w:tcW w:type="dxa" w:w="2000"/>
            <w:shd w:fill="0F3460" w:val="clear"/>
          </w:tcPr>
          <w:p>
            <w:pPr>
              <w:rPr>
                <w:rFonts w:ascii="Arial" w:cs="Arial" w:eastAsia="Arial" w:hAnsi="Arial"/>
                <w:b/>
                <w:bCs/>
                <w:sz w:val="22"/>
                <w:szCs w:val="22"/>
              </w:rPr>
            </w:pPr>
            <w:r>
              <w:t xml:space="preserve">Monthly VA Income</w:t>
            </w:r>
          </w:p>
        </w:tc>
        <w:tc>
          <w:tcPr>
            <w:tcW w:type="dxa" w:w="2000"/>
            <w:shd w:fill="0F3460" w:val="clear"/>
          </w:tcPr>
          <w:p>
            <w:pPr>
              <w:rPr>
                <w:rFonts w:ascii="Arial" w:cs="Arial" w:eastAsia="Arial" w:hAnsi="Arial"/>
                <w:b/>
                <w:bCs/>
                <w:sz w:val="22"/>
                <w:szCs w:val="22"/>
              </w:rPr>
            </w:pPr>
            <w:r>
              <w:t xml:space="preserve">12% Bracket</w:t>
            </w:r>
          </w:p>
        </w:tc>
        <w:tc>
          <w:tcPr>
            <w:tcW w:type="dxa" w:w="2000"/>
            <w:shd w:fill="0F3460" w:val="clear"/>
          </w:tcPr>
          <w:p>
            <w:pPr>
              <w:rPr>
                <w:rFonts w:ascii="Arial" w:cs="Arial" w:eastAsia="Arial" w:hAnsi="Arial"/>
                <w:b/>
                <w:bCs/>
                <w:sz w:val="22"/>
                <w:szCs w:val="22"/>
              </w:rPr>
            </w:pPr>
            <w:r>
              <w:t xml:space="preserve">22% Bracket</w:t>
            </w:r>
          </w:p>
        </w:tc>
        <w:tc>
          <w:tcPr>
            <w:tcW w:type="dxa" w:w="2000"/>
            <w:shd w:fill="0F3460" w:val="clear"/>
          </w:tcPr>
          <w:p>
            <w:pPr>
              <w:rPr>
                <w:rFonts w:ascii="Arial" w:cs="Arial" w:eastAsia="Arial" w:hAnsi="Arial"/>
                <w:b/>
                <w:bCs/>
                <w:sz w:val="22"/>
                <w:szCs w:val="22"/>
              </w:rPr>
            </w:pPr>
            <w:r>
              <w:t xml:space="preserve">24% Bracket</w:t>
            </w:r>
          </w:p>
        </w:tc>
        <w:tc>
          <w:tcPr>
            <w:tcW w:type="dxa" w:w="2000"/>
            <w:shd w:fill="0F3460" w:val="clear"/>
          </w:tcPr>
          <w:p>
            <w:pPr>
              <w:rPr>
                <w:rFonts w:ascii="Arial" w:cs="Arial" w:eastAsia="Arial" w:hAnsi="Arial"/>
                <w:b/>
                <w:bCs/>
                <w:sz w:val="22"/>
                <w:szCs w:val="22"/>
              </w:rPr>
            </w:pPr>
            <w:r>
              <w:t xml:space="preserve">32% Bracket</w:t>
            </w:r>
          </w:p>
        </w:tc>
      </w:tr>
      <w:tr>
        <w:tc>
          <w:tcPr>
            <w:tcW w:type="dxa" w:w="2000"/>
          </w:tcPr>
          <w:p>
            <w:r>
              <w:t xml:space="preserve">$500</w:t>
            </w:r>
          </w:p>
        </w:tc>
        <w:tc>
          <w:tcPr>
            <w:tcW w:type="dxa" w:w="2000"/>
          </w:tcPr>
          <w:p>
            <w:r>
              <w:t xml:space="preserve">$568</w:t>
            </w:r>
          </w:p>
        </w:tc>
        <w:tc>
          <w:tcPr>
            <w:tcW w:type="dxa" w:w="2000"/>
          </w:tcPr>
          <w:p>
            <w:r>
              <w:t xml:space="preserve">$641</w:t>
            </w:r>
          </w:p>
        </w:tc>
        <w:tc>
          <w:tcPr>
            <w:tcW w:type="dxa" w:w="2000"/>
          </w:tcPr>
          <w:p>
            <w:r>
              <w:t xml:space="preserve">$658</w:t>
            </w:r>
          </w:p>
        </w:tc>
        <w:tc>
          <w:tcPr>
            <w:tcW w:type="dxa" w:w="2000"/>
          </w:tcPr>
          <w:p>
            <w:r>
              <w:t xml:space="preserve">$735</w:t>
            </w:r>
          </w:p>
        </w:tc>
      </w:tr>
      <w:tr>
        <w:tc>
          <w:tcPr>
            <w:tcW w:type="dxa" w:w="2000"/>
          </w:tcPr>
          <w:p>
            <w:r>
              <w:t xml:space="preserve">$1,000</w:t>
            </w:r>
          </w:p>
        </w:tc>
        <w:tc>
          <w:tcPr>
            <w:tcW w:type="dxa" w:w="2000"/>
          </w:tcPr>
          <w:p>
            <w:r>
              <w:t xml:space="preserve">$1,136</w:t>
            </w:r>
          </w:p>
        </w:tc>
        <w:tc>
          <w:tcPr>
            <w:tcW w:type="dxa" w:w="2000"/>
          </w:tcPr>
          <w:p>
            <w:r>
              <w:t xml:space="preserve">$1,282</w:t>
            </w:r>
          </w:p>
        </w:tc>
        <w:tc>
          <w:tcPr>
            <w:tcW w:type="dxa" w:w="2000"/>
          </w:tcPr>
          <w:p>
            <w:r>
              <w:t xml:space="preserve">$1,316</w:t>
            </w:r>
          </w:p>
        </w:tc>
        <w:tc>
          <w:tcPr>
            <w:tcW w:type="dxa" w:w="2000"/>
          </w:tcPr>
          <w:p>
            <w:r>
              <w:t xml:space="preserve">$1,471</w:t>
            </w:r>
          </w:p>
        </w:tc>
      </w:tr>
      <w:tr>
        <w:tc>
          <w:tcPr>
            <w:tcW w:type="dxa" w:w="2000"/>
          </w:tcPr>
          <w:p>
            <w:r>
              <w:t xml:space="preserve">$1,500</w:t>
            </w:r>
          </w:p>
        </w:tc>
        <w:tc>
          <w:tcPr>
            <w:tcW w:type="dxa" w:w="2000"/>
          </w:tcPr>
          <w:p>
            <w:r>
              <w:t xml:space="preserve">$1,705</w:t>
            </w:r>
          </w:p>
        </w:tc>
        <w:tc>
          <w:tcPr>
            <w:tcW w:type="dxa" w:w="2000"/>
          </w:tcPr>
          <w:p>
            <w:r>
              <w:t xml:space="preserve">$1,923</w:t>
            </w:r>
          </w:p>
        </w:tc>
        <w:tc>
          <w:tcPr>
            <w:tcW w:type="dxa" w:w="2000"/>
          </w:tcPr>
          <w:p>
            <w:r>
              <w:t xml:space="preserve">$1,974</w:t>
            </w:r>
          </w:p>
        </w:tc>
        <w:tc>
          <w:tcPr>
            <w:tcW w:type="dxa" w:w="2000"/>
          </w:tcPr>
          <w:p>
            <w:r>
              <w:t xml:space="preserve">$2,206</w:t>
            </w:r>
          </w:p>
        </w:tc>
      </w:tr>
      <w:tr>
        <w:tc>
          <w:tcPr>
            <w:tcW w:type="dxa" w:w="2000"/>
          </w:tcPr>
          <w:p>
            <w:r>
              <w:t xml:space="preserve">$2,000</w:t>
            </w:r>
          </w:p>
        </w:tc>
        <w:tc>
          <w:tcPr>
            <w:tcW w:type="dxa" w:w="2000"/>
          </w:tcPr>
          <w:p>
            <w:r>
              <w:t xml:space="preserve">$2,273</w:t>
            </w:r>
          </w:p>
        </w:tc>
        <w:tc>
          <w:tcPr>
            <w:tcW w:type="dxa" w:w="2000"/>
          </w:tcPr>
          <w:p>
            <w:r>
              <w:t xml:space="preserve">$2,564</w:t>
            </w:r>
          </w:p>
        </w:tc>
        <w:tc>
          <w:tcPr>
            <w:tcW w:type="dxa" w:w="2000"/>
          </w:tcPr>
          <w:p>
            <w:r>
              <w:t xml:space="preserve">$2,632</w:t>
            </w:r>
          </w:p>
        </w:tc>
        <w:tc>
          <w:tcPr>
            <w:tcW w:type="dxa" w:w="2000"/>
          </w:tcPr>
          <w:p>
            <w:r>
              <w:t xml:space="preserve">$2,941</w:t>
            </w:r>
          </w:p>
        </w:tc>
      </w:tr>
    </w:tbl>
    <w:p>
      <w:pPr>
        <w:spacing w:after="300" w:before="250"/>
        <w:rPr>
          <w:rFonts w:ascii="Arial" w:cs="Arial" w:eastAsia="Arial" w:hAnsi="Arial"/>
          <w:i/>
          <w:iCs/>
          <w:sz w:val="22"/>
          <w:szCs w:val="22"/>
        </w:rPr>
      </w:pPr>
      <w:r>
        <w:t xml:space="preserve">This is what your VA compensation is worth in equivalent job income. A $1,000 monthly VA benefit at the 22% tax bracket is equivalent to earning $1,282 in gross employment salary.</w:t>
      </w:r>
    </w:p>
    <w:p>
      <w:pPr>
        <w:spacing w:after="100" w:before="200"/>
        <w:rPr>
          <w:rFonts w:ascii="Arial" w:cs="Arial" w:eastAsia="Arial" w:hAnsi="Arial"/>
          <w:b/>
          <w:bCs/>
          <w:color w:val="0F3460"/>
          <w:sz w:val="24"/>
          <w:szCs w:val="24"/>
        </w:rPr>
      </w:pPr>
      <w:r>
        <w:t xml:space="preserve">Mortgage Qualification Strategy</w:t>
      </w:r>
    </w:p>
    <w:p>
      <w:pPr>
        <w:spacing w:after="150"/>
        <w:rPr>
          <w:rFonts w:ascii="Arial" w:cs="Arial" w:eastAsia="Arial" w:hAnsi="Arial"/>
          <w:sz w:val="22"/>
          <w:szCs w:val="22"/>
        </w:rPr>
      </w:pPr>
      <w:r>
        <w:t xml:space="preserve">VA income counts toward your debt-to-income ratio if properly documented. Lenders must verify the income using these documents:</w:t>
      </w:r>
    </w:p>
    <w:p>
      <w:pPr>
        <w:spacing w:after="100"/>
        <w:rPr>
          <w:rFonts w:ascii="Arial" w:cs="Arial" w:eastAsia="Arial" w:hAnsi="Arial"/>
          <w:b/>
          <w:bCs/>
          <w:sz w:val="22"/>
          <w:szCs w:val="22"/>
        </w:rPr>
      </w:pPr>
      <w:r>
        <w:t xml:space="preserve">Documentation Checklist</w:t>
      </w:r>
    </w:p>
    <w:p>
      <w:pPr>
        <w:pStyle w:val="ListParagraph"/>
        <w:numPr>
          <w:ilvl w:val="0"/>
          <w:numId w:val="1"/>
        </w:numPr>
        <w:spacing w:after="50"/>
        <w:rPr>
          <w:rFonts w:ascii="Arial" w:cs="Arial" w:eastAsia="Arial" w:hAnsi="Arial"/>
          <w:sz w:val="22"/>
          <w:szCs w:val="22"/>
        </w:rPr>
      </w:pPr>
      <w:r>
        <w:t xml:space="preserve">Current VA award letter (from VA.gov)</w:t>
      </w:r>
    </w:p>
    <w:p>
      <w:pPr>
        <w:pStyle w:val="ListParagraph"/>
        <w:numPr>
          <w:ilvl w:val="0"/>
          <w:numId w:val="1"/>
        </w:numPr>
        <w:spacing w:after="50"/>
        <w:rPr>
          <w:rFonts w:ascii="Arial" w:cs="Arial" w:eastAsia="Arial" w:hAnsi="Arial"/>
          <w:sz w:val="22"/>
          <w:szCs w:val="22"/>
        </w:rPr>
      </w:pPr>
      <w:r>
        <w:t xml:space="preserve">VA.gov benefits statement showing monthly payment amount</w:t>
      </w:r>
    </w:p>
    <w:p>
      <w:pPr>
        <w:pStyle w:val="ListParagraph"/>
        <w:numPr>
          <w:ilvl w:val="0"/>
          <w:numId w:val="1"/>
        </w:numPr>
        <w:spacing w:after="50"/>
        <w:rPr>
          <w:rFonts w:ascii="Arial" w:cs="Arial" w:eastAsia="Arial" w:hAnsi="Arial"/>
          <w:sz w:val="22"/>
          <w:szCs w:val="22"/>
        </w:rPr>
      </w:pPr>
      <w:r>
        <w:t xml:space="preserve">Bank statements showing regular deposits (2-3 months)</w:t>
      </w:r>
    </w:p>
    <w:p>
      <w:pPr>
        <w:pStyle w:val="ListParagraph"/>
        <w:numPr>
          <w:ilvl w:val="0"/>
          <w:numId w:val="1"/>
        </w:numPr>
        <w:spacing w:after="250"/>
        <w:rPr>
          <w:rFonts w:ascii="Arial" w:cs="Arial" w:eastAsia="Arial" w:hAnsi="Arial"/>
          <w:sz w:val="22"/>
          <w:szCs w:val="22"/>
        </w:rPr>
      </w:pPr>
      <w:r>
        <w:t xml:space="preserve">Proof that VA disability rating is permanent (noted on award letter)</w:t>
      </w:r>
    </w:p>
    <w:p>
      <w:pPr>
        <w:spacing w:after="300"/>
        <w:rPr>
          <w:rFonts w:ascii="Arial" w:cs="Arial" w:eastAsia="Arial" w:hAnsi="Arial"/>
          <w:i/>
          <w:iCs/>
          <w:sz w:val="22"/>
          <w:szCs w:val="22"/>
        </w:rPr>
      </w:pPr>
      <w:r>
        <w:t xml:space="preserve">If a lender refuses to count your VA income, find a veteran-focused lender. Many credit unions and VA-specialized mortgage companies understand VA disability compensation better than traditional banks.</w:t>
      </w:r>
    </w:p>
    <w:p>
      <w:pPr>
        <w:spacing w:after="100" w:before="200"/>
        <w:rPr>
          <w:rFonts w:ascii="Arial" w:cs="Arial" w:eastAsia="Arial" w:hAnsi="Arial"/>
          <w:b/>
          <w:bCs/>
          <w:color w:val="0F3460"/>
          <w:sz w:val="24"/>
          <w:szCs w:val="24"/>
        </w:rPr>
      </w:pPr>
      <w:r>
        <w:t xml:space="preserve">Income Comparison Worksheet</w:t>
      </w:r>
    </w:p>
    <w:p>
      <w:pPr>
        <w:spacing w:after="150"/>
        <w:rPr>
          <w:rFonts w:ascii="Arial" w:cs="Arial" w:eastAsia="Arial" w:hAnsi="Arial"/>
          <w:sz w:val="22"/>
          <w:szCs w:val="22"/>
        </w:rPr>
      </w:pPr>
      <w:r>
        <w:t xml:space="preserve">Use this template to compare job offers by including your tax-free VA income in the calculation: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3000"/>
            <w:shd w:fill="0F3460" w:val="clear"/>
          </w:tcPr>
          <w:p>
            <w:pPr>
              <w:rPr>
                <w:rFonts w:ascii="Arial" w:cs="Arial" w:eastAsia="Arial" w:hAnsi="Arial"/>
                <w:b/>
                <w:bCs/>
                <w:sz w:val="22"/>
                <w:szCs w:val="22"/>
              </w:rPr>
            </w:pPr>
            <w:r>
              <w:t xml:space="preserve">Income Component</w:t>
            </w:r>
          </w:p>
        </w:tc>
        <w:tc>
          <w:tcPr>
            <w:tcW w:type="dxa" w:w="2500"/>
            <w:shd w:fill="0F3460" w:val="clear"/>
          </w:tcPr>
          <w:p>
            <w:pPr>
              <w:rPr>
                <w:rFonts w:ascii="Arial" w:cs="Arial" w:eastAsia="Arial" w:hAnsi="Arial"/>
                <w:b/>
                <w:bCs/>
                <w:sz w:val="22"/>
                <w:szCs w:val="22"/>
              </w:rPr>
            </w:pPr>
            <w:r>
              <w:t xml:space="preserve">Offer A</w:t>
            </w:r>
          </w:p>
        </w:tc>
        <w:tc>
          <w:tcPr>
            <w:tcW w:type="dxa" w:w="2500"/>
            <w:shd w:fill="0F3460" w:val="clear"/>
          </w:tcPr>
          <w:p>
            <w:pPr>
              <w:rPr>
                <w:rFonts w:ascii="Arial" w:cs="Arial" w:eastAsia="Arial" w:hAnsi="Arial"/>
                <w:b/>
                <w:bCs/>
                <w:sz w:val="22"/>
                <w:szCs w:val="22"/>
              </w:rPr>
            </w:pPr>
            <w:r>
              <w:t xml:space="preserve">Offer B</w:t>
            </w:r>
          </w:p>
        </w:tc>
      </w:tr>
      <w:tr>
        <w:tc>
          <w:tcPr>
            <w:tcW w:type="dxa" w:w="3000"/>
          </w:tcPr>
          <w:p>
            <w:r>
              <w:t xml:space="preserve">Gross Annual Salary</w:t>
            </w:r>
          </w:p>
        </w:tc>
        <w:tc>
          <w:tcPr>
            <w:tcW w:type="dxa" w:w="2500"/>
          </w:tcPr>
          <w:p>
            <w:r>
              <w:t xml:space="preserve">_________</w:t>
            </w:r>
          </w:p>
        </w:tc>
        <w:tc>
          <w:tcPr>
            <w:tcW w:type="dxa" w:w="2500"/>
          </w:tcPr>
          <w:p>
            <w:r>
              <w:t xml:space="preserve">_________</w:t>
            </w:r>
          </w:p>
        </w:tc>
      </w:tr>
      <w:tr>
        <w:tc>
          <w:tcPr>
            <w:tcW w:type="dxa" w:w="3000"/>
          </w:tcPr>
          <w:p>
            <w:r>
              <w:t xml:space="preserve">Federal Income Tax (est.)</w:t>
            </w:r>
          </w:p>
        </w:tc>
        <w:tc>
          <w:tcPr>
            <w:tcW w:type="dxa" w:w="2500"/>
          </w:tcPr>
          <w:p>
            <w:r>
              <w:t xml:space="preserve">_________</w:t>
            </w:r>
          </w:p>
        </w:tc>
        <w:tc>
          <w:tcPr>
            <w:tcW w:type="dxa" w:w="2500"/>
          </w:tcPr>
          <w:p>
            <w:r>
              <w:t xml:space="preserve">_________</w:t>
            </w:r>
          </w:p>
        </w:tc>
      </w:tr>
      <w:tr>
        <w:tc>
          <w:tcPr>
            <w:tcW w:type="dxa" w:w="3000"/>
          </w:tcPr>
          <w:p>
            <w:r>
              <w:t xml:space="preserve">FICA Taxes</w:t>
            </w:r>
          </w:p>
        </w:tc>
        <w:tc>
          <w:tcPr>
            <w:tcW w:type="dxa" w:w="2500"/>
          </w:tcPr>
          <w:p>
            <w:r>
              <w:t xml:space="preserve">_________</w:t>
            </w:r>
          </w:p>
        </w:tc>
        <w:tc>
          <w:tcPr>
            <w:tcW w:type="dxa" w:w="2500"/>
          </w:tcPr>
          <w:p>
            <w:r>
              <w:t xml:space="preserve">_________</w:t>
            </w:r>
          </w:p>
        </w:tc>
      </w:tr>
      <w:tr>
        <w:tc>
          <w:tcPr>
            <w:tcW w:type="dxa" w:w="3000"/>
          </w:tcPr>
          <w:p>
            <w:r>
              <w:t xml:space="preserve">After-Tax Salary</w:t>
            </w:r>
          </w:p>
        </w:tc>
        <w:tc>
          <w:tcPr>
            <w:tcW w:type="dxa" w:w="2500"/>
          </w:tcPr>
          <w:p>
            <w:r>
              <w:t xml:space="preserve">_________</w:t>
            </w:r>
          </w:p>
        </w:tc>
        <w:tc>
          <w:tcPr>
            <w:tcW w:type="dxa" w:w="2500"/>
          </w:tcPr>
          <w:p>
            <w:r>
              <w:t xml:space="preserve">_________</w:t>
            </w:r>
          </w:p>
        </w:tc>
      </w:tr>
      <w:tr>
        <w:tc>
          <w:tcPr>
            <w:tcW w:type="dxa" w:w="3000"/>
          </w:tcPr>
          <w:p>
            <w:r>
              <w:t xml:space="preserve">Monthly VA Income (tax-free)</w:t>
            </w:r>
          </w:p>
        </w:tc>
        <w:tc>
          <w:tcPr>
            <w:tcW w:type="dxa" w:w="2500"/>
          </w:tcPr>
          <w:p>
            <w:r>
              <w:t xml:space="preserve">_________</w:t>
            </w:r>
          </w:p>
        </w:tc>
        <w:tc>
          <w:tcPr>
            <w:tcW w:type="dxa" w:w="2500"/>
          </w:tcPr>
          <w:p>
            <w:r>
              <w:t xml:space="preserve">_________</w:t>
            </w:r>
          </w:p>
        </w:tc>
      </w:tr>
      <w:tr>
        <w:tc>
          <w:tcPr>
            <w:tcW w:type="dxa" w:w="3000"/>
          </w:tcPr>
          <w:p>
            <w:r>
              <w:t xml:space="preserve">Annual VA Income</w:t>
            </w:r>
          </w:p>
        </w:tc>
        <w:tc>
          <w:tcPr>
            <w:tcW w:type="dxa" w:w="2500"/>
          </w:tcPr>
          <w:p>
            <w:r>
              <w:t xml:space="preserve">_________</w:t>
            </w:r>
          </w:p>
        </w:tc>
        <w:tc>
          <w:tcPr>
            <w:tcW w:type="dxa" w:w="2500"/>
          </w:tcPr>
          <w:p>
            <w:r>
              <w:t xml:space="preserve">_________</w:t>
            </w:r>
          </w:p>
        </w:tc>
      </w:tr>
      <w:tr>
        <w:tc>
          <w:tcPr>
            <w:tcW w:type="dxa" w:w="3000"/>
            <w:shd w:fill="2D6A4F" w:val="clear"/>
          </w:tcPr>
          <w:p>
            <w:pPr>
              <w:rPr>
                <w:b/>
                <w:bCs/>
              </w:rPr>
            </w:pPr>
            <w:r>
              <w:t xml:space="preserve">TOTAL ACTUAL INCOME</w:t>
            </w:r>
          </w:p>
        </w:tc>
        <w:tc>
          <w:tcPr>
            <w:tcW w:type="dxa" w:w="2500"/>
            <w:shd w:fill="2D6A4F" w:val="clear"/>
          </w:tcPr>
          <w:p>
            <w:r>
              <w:t xml:space="preserve">_________</w:t>
            </w:r>
          </w:p>
        </w:tc>
        <w:tc>
          <w:tcPr>
            <w:tcW w:type="dxa" w:w="2500"/>
            <w:shd w:fill="2D6A4F" w:val="clear"/>
          </w:tcPr>
          <w:p>
            <w:r>
              <w:t xml:space="preserve">_________</w:t>
            </w:r>
          </w:p>
        </w:tc>
      </w:tr>
    </w:tbl>
    <w:p>
      <w:pPr>
        <w:spacing w:after="300"/>
      </w:pPr>
    </w:p>
    <w:p>
      <w:pPr>
        <w:spacing w:after="100" w:before="200"/>
        <w:rPr>
          <w:rFonts w:ascii="Arial" w:cs="Arial" w:eastAsia="Arial" w:hAnsi="Arial"/>
          <w:b/>
          <w:bCs/>
          <w:color w:val="0F3460"/>
          <w:sz w:val="24"/>
          <w:szCs w:val="24"/>
        </w:rPr>
      </w:pPr>
      <w:r>
        <w:t xml:space="preserve">MAGI and Tax Credit Implications</w:t>
      </w:r>
    </w:p>
    <w:p>
      <w:pPr>
        <w:spacing w:after="150"/>
        <w:rPr>
          <w:rFonts w:ascii="Arial" w:cs="Arial" w:eastAsia="Arial" w:hAnsi="Arial"/>
          <w:sz w:val="22"/>
          <w:szCs w:val="22"/>
        </w:rPr>
      </w:pPr>
      <w:r>
        <w:t xml:space="preserve">VA disability compensation is excluded from Modified Adjusted Gross Income (MAGI) for several important tax benefits:</w:t>
      </w:r>
    </w:p>
    <w:p>
      <w:pPr>
        <w:pStyle w:val="ListParagraph"/>
        <w:numPr>
          <w:ilvl w:val="0"/>
          <w:numId w:val="1"/>
        </w:numPr>
        <w:spacing w:after="100"/>
        <w:rPr>
          <w:rFonts w:ascii="Arial" w:cs="Arial" w:eastAsia="Arial" w:hAnsi="Arial"/>
          <w:sz w:val="22"/>
          <w:szCs w:val="22"/>
        </w:rPr>
      </w:pPr>
      <w:r>
        <w:t xml:space="preserve">Roth IRA Eligibility: Even if your employment income exceeds Roth contribution limits, your VA income doesn't count. You may qualify to contribute to a Roth even with higher total household income.</w:t>
      </w:r>
    </w:p>
    <w:p>
      <w:pPr>
        <w:pStyle w:val="ListParagraph"/>
        <w:numPr>
          <w:ilvl w:val="0"/>
          <w:numId w:val="1"/>
        </w:numPr>
        <w:spacing w:after="100"/>
        <w:rPr>
          <w:rFonts w:ascii="Arial" w:cs="Arial" w:eastAsia="Arial" w:hAnsi="Arial"/>
          <w:sz w:val="22"/>
          <w:szCs w:val="22"/>
        </w:rPr>
      </w:pPr>
      <w:r>
        <w:t xml:space="preserve">Education Credits: American Opportunity Tax Credit and Lifetime Learning Credit calculations exclude VA income, potentially qualifying you for larger education benefits.</w:t>
      </w:r>
    </w:p>
    <w:p>
      <w:pPr>
        <w:pStyle w:val="ListParagraph"/>
        <w:numPr>
          <w:ilvl w:val="0"/>
          <w:numId w:val="1"/>
        </w:numPr>
        <w:spacing w:after="250"/>
        <w:rPr>
          <w:rFonts w:ascii="Arial" w:cs="Arial" w:eastAsia="Arial" w:hAnsi="Arial"/>
          <w:sz w:val="22"/>
          <w:szCs w:val="22"/>
        </w:rPr>
      </w:pPr>
      <w:r>
        <w:t xml:space="preserve">Earned Income Tax Credit (EITC): Lower MAGI can improve EITC eligibility, especially important if you have dependents.</w:t>
      </w:r>
    </w:p>
    <w:p>
      <w:pPr>
        <w:spacing w:after="300"/>
        <w:rPr>
          <w:rFonts w:ascii="Arial" w:cs="Arial" w:eastAsia="Arial" w:hAnsi="Arial"/>
          <w:i/>
          <w:iCs/>
          <w:sz w:val="22"/>
          <w:szCs w:val="22"/>
        </w:rPr>
      </w:pPr>
      <w:r>
        <w:t xml:space="preserve">Consult a tax professional to optimize these benefits. Your situation may qualify for credits you don't currently claim.</w:t>
      </w:r>
    </w:p>
    <w:p>
      <w:pPr>
        <w:spacing w:after="100" w:before="200"/>
        <w:rPr>
          <w:rFonts w:ascii="Arial" w:cs="Arial" w:eastAsia="Arial" w:hAnsi="Arial"/>
          <w:b/>
          <w:bCs/>
          <w:color w:val="0F3460"/>
          <w:sz w:val="24"/>
          <w:szCs w:val="24"/>
        </w:rPr>
      </w:pPr>
      <w:r>
        <w:t xml:space="preserve">COLA Capture Strategy</w:t>
      </w:r>
    </w:p>
    <w:p>
      <w:pPr>
        <w:spacing w:after="150"/>
        <w:rPr>
          <w:rFonts w:ascii="Arial" w:cs="Arial" w:eastAsia="Arial" w:hAnsi="Arial"/>
          <w:sz w:val="22"/>
          <w:szCs w:val="22"/>
        </w:rPr>
      </w:pPr>
      <w:r>
        <w:t xml:space="preserve">Each October, the COLA (Cost of Living Adjustment) increase arrives. Don't let this benefit disappear into your normal spending. Use this protocol:</w:t>
      </w:r>
    </w:p>
    <w:p>
      <w:pPr>
        <w:pStyle w:val="ListParagraph"/>
        <w:numPr>
          <w:ilvl w:val="0"/>
          <w:numId w:val="1"/>
        </w:numPr>
        <w:spacing w:after="100"/>
        <w:rPr>
          <w:rFonts w:ascii="Arial" w:cs="Arial" w:eastAsia="Arial" w:hAnsi="Arial"/>
          <w:sz w:val="22"/>
          <w:szCs w:val="22"/>
        </w:rPr>
      </w:pPr>
      <w:r>
        <w:t xml:space="preserve">Calculate the monthly increase amount from your VA benefit change notification.</w:t>
      </w:r>
    </w:p>
    <w:p>
      <w:pPr>
        <w:pStyle w:val="ListParagraph"/>
        <w:numPr>
          <w:ilvl w:val="0"/>
          <w:numId w:val="1"/>
        </w:numPr>
        <w:spacing w:after="100"/>
        <w:rPr>
          <w:rFonts w:ascii="Arial" w:cs="Arial" w:eastAsia="Arial" w:hAnsi="Arial"/>
          <w:sz w:val="22"/>
          <w:szCs w:val="22"/>
        </w:rPr>
      </w:pPr>
      <w:r>
        <w:t xml:space="preserve">Multiply monthly increase × 12 to see your annual COLA boost.</w:t>
      </w:r>
    </w:p>
    <w:p>
      <w:pPr>
        <w:pStyle w:val="ListParagraph"/>
        <w:numPr>
          <w:ilvl w:val="0"/>
          <w:numId w:val="1"/>
        </w:numPr>
        <w:spacing w:after="100"/>
        <w:rPr>
          <w:rFonts w:ascii="Arial" w:cs="Arial" w:eastAsia="Arial" w:hAnsi="Arial"/>
          <w:sz w:val="22"/>
          <w:szCs w:val="22"/>
        </w:rPr>
      </w:pPr>
      <w:r>
        <w:t xml:space="preserve">On the day your payment increases, immediately transfer the COLA increase to a dedicated savings or investment account.</w:t>
      </w:r>
    </w:p>
    <w:p>
      <w:pPr>
        <w:pStyle w:val="ListParagraph"/>
        <w:numPr>
          <w:ilvl w:val="0"/>
          <w:numId w:val="1"/>
        </w:numPr>
        <w:spacing w:after="300"/>
        <w:rPr>
          <w:rFonts w:ascii="Arial" w:cs="Arial" w:eastAsia="Arial" w:hAnsi="Arial"/>
          <w:sz w:val="22"/>
          <w:szCs w:val="22"/>
        </w:rPr>
      </w:pPr>
      <w:r>
        <w:t xml:space="preserve">Repeat annually. This systematic approach compounds your wealth without requiring lifestyle changes.</w:t>
      </w:r>
    </w:p>
    <w:p>
      <w:pPr>
        <w:spacing w:after="100" w:before="200"/>
        <w:rPr>
          <w:rFonts w:ascii="Arial" w:cs="Arial" w:eastAsia="Arial" w:hAnsi="Arial"/>
          <w:b/>
          <w:bCs/>
          <w:color w:val="0F3460"/>
          <w:sz w:val="24"/>
          <w:szCs w:val="24"/>
        </w:rPr>
      </w:pPr>
      <w:r>
        <w:t xml:space="preserve">2026 Federal Tax Bracket Reference</w:t>
      </w:r>
    </w:p>
    <w:p>
      <w:pPr>
        <w:spacing w:after="50" w:before="100"/>
        <w:rPr>
          <w:rFonts w:ascii="Arial" w:cs="Arial" w:eastAsia="Arial" w:hAnsi="Arial"/>
          <w:b/>
          <w:bCs/>
          <w:sz w:val="22"/>
          <w:szCs w:val="22"/>
        </w:rPr>
      </w:pPr>
      <w:r>
        <w:t xml:space="preserve">Single Filers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000"/>
            <w:shd w:fill="0F3460" w:val="clear"/>
          </w:tcPr>
          <w:p>
            <w:pPr>
              <w:rPr>
                <w:b/>
                <w:bCs/>
              </w:rPr>
            </w:pPr>
            <w:r>
              <w:t xml:space="preserve">Tax Rate</w:t>
            </w:r>
          </w:p>
        </w:tc>
        <w:tc>
          <w:tcPr>
            <w:tcW w:type="dxa" w:w="3000"/>
            <w:shd w:fill="0F3460" w:val="clear"/>
          </w:tcPr>
          <w:p>
            <w:pPr>
              <w:rPr>
                <w:b/>
                <w:bCs/>
              </w:rPr>
            </w:pPr>
            <w:r>
              <w:t xml:space="preserve">Income Range</w:t>
            </w:r>
          </w:p>
        </w:tc>
      </w:tr>
      <w:tr>
        <w:tc>
          <w:tcPr>
            <w:tcW w:type="dxa" w:w="2000"/>
          </w:tcPr>
          <w:p>
            <w:r>
              <w:t xml:space="preserve">10%</w:t>
            </w:r>
          </w:p>
        </w:tc>
        <w:tc>
          <w:tcPr>
            <w:tcW w:type="dxa" w:w="3000"/>
          </w:tcPr>
          <w:p>
            <w:r>
              <w:t xml:space="preserve">$0 - $11,000</w:t>
            </w:r>
          </w:p>
        </w:tc>
      </w:tr>
      <w:tr>
        <w:tc>
          <w:tcPr>
            <w:tcW w:type="dxa" w:w="2000"/>
          </w:tcPr>
          <w:p>
            <w:r>
              <w:t xml:space="preserve">12%</w:t>
            </w:r>
          </w:p>
        </w:tc>
        <w:tc>
          <w:tcPr>
            <w:tcW w:type="dxa" w:w="3000"/>
          </w:tcPr>
          <w:p>
            <w:r>
              <w:t xml:space="preserve">$11,000 - $44,725</w:t>
            </w:r>
          </w:p>
        </w:tc>
      </w:tr>
      <w:tr>
        <w:tc>
          <w:tcPr>
            <w:tcW w:type="dxa" w:w="2000"/>
          </w:tcPr>
          <w:p>
            <w:r>
              <w:t xml:space="preserve">22%</w:t>
            </w:r>
          </w:p>
        </w:tc>
        <w:tc>
          <w:tcPr>
            <w:tcW w:type="dxa" w:w="3000"/>
          </w:tcPr>
          <w:p>
            <w:r>
              <w:t xml:space="preserve">$44,725 - $95,375</w:t>
            </w:r>
          </w:p>
        </w:tc>
      </w:tr>
      <w:tr>
        <w:tc>
          <w:tcPr>
            <w:tcW w:type="dxa" w:w="2000"/>
          </w:tcPr>
          <w:p>
            <w:r>
              <w:t xml:space="preserve">24%</w:t>
            </w:r>
          </w:p>
        </w:tc>
        <w:tc>
          <w:tcPr>
            <w:tcW w:type="dxa" w:w="3000"/>
          </w:tcPr>
          <w:p>
            <w:r>
              <w:t xml:space="preserve">$95,375 - $182,750</w:t>
            </w:r>
          </w:p>
        </w:tc>
      </w:tr>
      <w:tr>
        <w:tc>
          <w:tcPr>
            <w:tcW w:type="dxa" w:w="2000"/>
          </w:tcPr>
          <w:p>
            <w:r>
              <w:t xml:space="preserve">32%</w:t>
            </w:r>
          </w:p>
        </w:tc>
        <w:tc>
          <w:tcPr>
            <w:tcW w:type="dxa" w:w="3000"/>
          </w:tcPr>
          <w:p>
            <w:r>
              <w:t xml:space="preserve">$182,750 - $231,250</w:t>
            </w:r>
          </w:p>
        </w:tc>
      </w:tr>
    </w:tbl>
    <w:p>
      <w:pPr>
        <w:spacing w:after="50" w:before="200"/>
        <w:rPr>
          <w:rFonts w:ascii="Arial" w:cs="Arial" w:eastAsia="Arial" w:hAnsi="Arial"/>
          <w:b/>
          <w:bCs/>
          <w:sz w:val="22"/>
          <w:szCs w:val="22"/>
        </w:rPr>
      </w:pPr>
      <w:r>
        <w:t xml:space="preserve">Married Filing Jointly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000"/>
            <w:shd w:fill="0F3460" w:val="clear"/>
          </w:tcPr>
          <w:p>
            <w:pPr>
              <w:rPr>
                <w:b/>
                <w:bCs/>
              </w:rPr>
            </w:pPr>
            <w:r>
              <w:t xml:space="preserve">Tax Rate</w:t>
            </w:r>
          </w:p>
        </w:tc>
        <w:tc>
          <w:tcPr>
            <w:tcW w:type="dxa" w:w="3000"/>
            <w:shd w:fill="0F3460" w:val="clear"/>
          </w:tcPr>
          <w:p>
            <w:pPr>
              <w:rPr>
                <w:b/>
                <w:bCs/>
              </w:rPr>
            </w:pPr>
            <w:r>
              <w:t xml:space="preserve">Income Range</w:t>
            </w:r>
          </w:p>
        </w:tc>
      </w:tr>
      <w:tr>
        <w:tc>
          <w:tcPr>
            <w:tcW w:type="dxa" w:w="2000"/>
          </w:tcPr>
          <w:p>
            <w:r>
              <w:t xml:space="preserve">10%</w:t>
            </w:r>
          </w:p>
        </w:tc>
        <w:tc>
          <w:tcPr>
            <w:tcW w:type="dxa" w:w="3000"/>
          </w:tcPr>
          <w:p>
            <w:r>
              <w:t xml:space="preserve">$0 - $22,000</w:t>
            </w:r>
          </w:p>
        </w:tc>
      </w:tr>
      <w:tr>
        <w:tc>
          <w:tcPr>
            <w:tcW w:type="dxa" w:w="2000"/>
          </w:tcPr>
          <w:p>
            <w:r>
              <w:t xml:space="preserve">12%</w:t>
            </w:r>
          </w:p>
        </w:tc>
        <w:tc>
          <w:tcPr>
            <w:tcW w:type="dxa" w:w="3000"/>
          </w:tcPr>
          <w:p>
            <w:r>
              <w:t xml:space="preserve">$22,000 - $89,450</w:t>
            </w:r>
          </w:p>
        </w:tc>
      </w:tr>
      <w:tr>
        <w:tc>
          <w:tcPr>
            <w:tcW w:type="dxa" w:w="2000"/>
          </w:tcPr>
          <w:p>
            <w:r>
              <w:t xml:space="preserve">22%</w:t>
            </w:r>
          </w:p>
        </w:tc>
        <w:tc>
          <w:tcPr>
            <w:tcW w:type="dxa" w:w="3000"/>
          </w:tcPr>
          <w:p>
            <w:r>
              <w:t xml:space="preserve">$89,450 - $190,750</w:t>
            </w:r>
          </w:p>
        </w:tc>
      </w:tr>
      <w:tr>
        <w:tc>
          <w:tcPr>
            <w:tcW w:type="dxa" w:w="2000"/>
          </w:tcPr>
          <w:p>
            <w:r>
              <w:t xml:space="preserve">24%</w:t>
            </w:r>
          </w:p>
        </w:tc>
        <w:tc>
          <w:tcPr>
            <w:tcW w:type="dxa" w:w="3000"/>
          </w:tcPr>
          <w:p>
            <w:r>
              <w:t xml:space="preserve">$190,750 - $365,600</w:t>
            </w:r>
          </w:p>
        </w:tc>
      </w:tr>
      <w:tr>
        <w:tc>
          <w:tcPr>
            <w:tcW w:type="dxa" w:w="2000"/>
          </w:tcPr>
          <w:p>
            <w:r>
              <w:t xml:space="preserve">32%</w:t>
            </w:r>
          </w:p>
        </w:tc>
        <w:tc>
          <w:tcPr>
            <w:tcW w:type="dxa" w:w="3000"/>
          </w:tcPr>
          <w:p>
            <w:r>
              <w:t xml:space="preserve">$365,600 - $462,500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2026-04-13T07:03:39.343Z</dcterms:created>
  <dcterms:modified xsi:type="dcterms:W3CDTF">2026-04-13T07:03:39.343Z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