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spacing w:after="200" w:before="400"/>
        <w:jc w:val="center"/>
      </w:pPr>
      <w:r>
        <w:t xml:space="preserve">TBI Secondary Conditions Filing Strategy</w:t>
      </w:r>
    </w:p>
    <w:p>
      <w:pPr>
        <w:spacing w:after="400"/>
        <w:jc w:val="center"/>
      </w:pPr>
      <w:r>
        <w:t xml:space="preserve">Maximize Rating by Filing All Secondaries</w:t>
      </w:r>
    </w:p>
    <w:p>
      <w:pPr>
        <w:spacing w:before="600"/>
      </w:pPr>
    </w:p>
    <w:p>
      <w:pPr>
        <w:spacing w:before="200"/>
        <w:jc w:val="center"/>
      </w:pPr>
      <w:r>
        <w:t xml:space="preserve">FWD Assist</w:t>
      </w:r>
    </w:p>
    <w:r>
      <w:br w:type="page"/>
    </w:r>
    <w:p>
      <w:pPr>
        <w:pStyle w:val="Heading1"/>
        <w:spacing w:after="120" w:before="240"/>
      </w:pPr>
      <w:r>
        <w:t xml:space="preserve">Section 1: The Cost of Not Filing Secondaries</w:t>
      </w:r>
    </w:p>
    <w:p>
      <w:pPr>
        <w:spacing w:after="120"/>
      </w:pPr>
      <w:r>
        <w:t xml:space="preserve">Example: A veteran with service-connected TBI alone at 40% rating receives $1,017/month (as of 2024).</w:t>
      </w:r>
    </w:p>
    <w:p>
      <w:pPr>
        <w:spacing w:after="120"/>
      </w:pPr>
      <w:r>
        <w:t xml:space="preserve">The same veteran with TBI (40%) plus:</w:t>
      </w:r>
    </w:p>
    <w:p>
      <w:pPr>
        <w:spacing w:after="120"/>
      </w:pPr>
      <w:r>
        <w:t xml:space="preserve">• Migraine (20%) = combined rating 52% ($1,345/month)</w:t>
      </w:r>
    </w:p>
    <w:p>
      <w:pPr>
        <w:spacing w:after="120"/>
      </w:pPr>
      <w:r>
        <w:t xml:space="preserve">• Migraine (20%) + PTSD (50%) = combined rating 76% ($1,867/month)</w:t>
      </w:r>
    </w:p>
    <w:p>
      <w:pPr>
        <w:spacing w:after="120"/>
      </w:pPr>
      <w:r>
        <w:t xml:space="preserve">• Migraine (20%) + PTSD (50%) + Depression (30%) + Sleep Disorder (20%) = combined rating 88% ($2,269/month)</w:t>
      </w:r>
    </w:p>
    <w:p>
      <w:pPr>
        <w:spacing w:after="120"/>
      </w:pPr>
      <w:r>
        <w:t xml:space="preserve">
Difference: 40% TBI alone vs. 88% with secondaries = $1,252/month = $15,024/year additional benefit</w:t>
      </w:r>
    </w:p>
    <w:p>
      <w:pPr>
        <w:spacing w:after="120"/>
      </w:pPr>
      <w:r>
        <w:t xml:space="preserve">Over 20 years of retirement, that is $300,480 in lost benefits by NOT filing secondaries.</w:t>
      </w:r>
    </w:p>
    <w:p>
      <w:pPr>
        <w:spacing w:after="120"/>
      </w:pPr>
      <w:r>
        <w:t xml:space="preserve">
Action: File every TBI secondary condition you experience in a SINGLE claim package.</w:t>
      </w:r>
    </w:p>
    <w:p>
      <w:pPr>
        <w:pStyle w:val="Heading1"/>
        <w:spacing w:after="120" w:before="240"/>
      </w:pPr>
      <w:r>
        <w:t xml:space="preserve">Section 2: File Everything Together</w:t>
      </w:r>
    </w:p>
    <w:p>
      <w:pPr>
        <w:spacing w:after="120"/>
      </w:pPr>
      <w:r>
        <w:t xml:space="preserve">Why concurrent filing matters:</w:t>
      </w:r>
    </w:p>
    <w:p>
      <w:pPr>
        <w:spacing w:after="120"/>
      </w:pPr>
      <w:r>
        <w:t xml:space="preserve">• One Intent to File (ITF) covers all conditions filed within 4 months</w:t>
      </w:r>
    </w:p>
    <w:p>
      <w:pPr>
        <w:spacing w:after="120"/>
      </w:pPr>
      <w:r>
        <w:t xml:space="preserve">• Effective date is your ITF date for ALL conditions</w:t>
      </w:r>
    </w:p>
    <w:p>
      <w:pPr>
        <w:spacing w:after="120"/>
      </w:pPr>
      <w:r>
        <w:t xml:space="preserve">• Combined rating is higher than individual ratings (combined with VA formula)</w:t>
      </w:r>
    </w:p>
    <w:p>
      <w:pPr>
        <w:spacing w:after="120"/>
      </w:pPr>
      <w:r>
        <w:t xml:space="preserve">• VA less likely to deny secondary conditions when filed with strong primary condition</w:t>
      </w:r>
    </w:p>
    <w:p>
      <w:pPr>
        <w:spacing w:after="120"/>
      </w:pPr>
      <w:r>
        <w:t xml:space="preserve">
Step-by-Step Process:</w:t>
      </w:r>
    </w:p>
    <w:p>
      <w:pPr>
        <w:spacing w:after="120"/>
      </w:pPr>
      <w:r>
        <w:t xml:space="preserve">1. File Intent to File (VA Form 21-0966) listing your primary TBI only</w:t>
      </w:r>
    </w:p>
    <w:p>
      <w:pPr>
        <w:spacing w:after="120"/>
      </w:pPr>
      <w:r>
        <w:t xml:space="preserve">2. Gather evidence for all secondaries over next 3-4 months (see Section 3)</w:t>
      </w:r>
    </w:p>
    <w:p>
      <w:pPr>
        <w:spacing w:after="120"/>
      </w:pPr>
      <w:r>
        <w:t xml:space="preserve">3. File VA Form 21-526EZ listing: Primary TBI + all secondaries on ONE form</w:t>
      </w:r>
    </w:p>
    <w:p>
      <w:pPr>
        <w:spacing w:after="120"/>
      </w:pPr>
      <w:r>
        <w:t xml:space="preserve">4. Submit all evidence in organized 5-PDF package (see Document 8)</w:t>
      </w:r>
    </w:p>
    <w:p>
      <w:pPr>
        <w:spacing w:after="120"/>
      </w:pPr>
      <w:r>
        <w:t xml:space="preserve">5. Attend C&amp;P exams for all conditions (TBI exam covers all 10 domains; schedule separate exams for any secondary-specific testing like neurology for migraines, sleep study for sleep disorder)</w:t>
      </w:r>
    </w:p>
    <w:p>
      <w:pPr>
        <w:pStyle w:val="Heading1"/>
        <w:spacing w:after="120" w:before="240"/>
      </w:pPr>
      <w:r>
        <w:t xml:space="preserve">Section 3: Condition-by-Condition Filing Guide</w:t>
      </w:r>
    </w:p>
    <w:p>
      <w:pPr>
        <w:pStyle w:val="Heading2"/>
        <w:spacing w:after="120" w:before="240"/>
      </w:pPr>
      <w:r>
        <w:t xml:space="preserve">Migraines (DC 8100)</w:t>
      </w:r>
    </w:p>
    <w:p>
      <w:pPr>
        <w:spacing w:after="60"/>
      </w:pPr>
      <w:r>
        <w:t xml:space="preserve">Rating Criteria: 10% = less than one per month; 20% = one or more per month; 30% = more than one per week; 50% = daily or near-daily</w:t>
      </w:r>
    </w:p>
    <w:p>
      <w:pPr>
        <w:spacing w:after="240"/>
      </w:pPr>
      <w:r>
        <w:t xml:space="preserve">Evidence Needed: Headache log showing dates, frequency, severity, duration, treatment used, impact; neurologist note documenting migraine diagnosis; neuropsych evaluation if conducted</w:t>
      </w:r>
    </w:p>
    <w:p>
      <w:pPr>
        <w:pStyle w:val="Heading2"/>
        <w:spacing w:after="120" w:before="240"/>
      </w:pPr>
      <w:r>
        <w:t xml:space="preserve">PTSD (DC 9411)</w:t>
      </w:r>
    </w:p>
    <w:p>
      <w:pPr>
        <w:spacing w:after="60"/>
      </w:pPr>
      <w:r>
        <w:t xml:space="preserve">Rating Criteria: 10% = mild; 30% = moderate; 50% = severe (functional impairment); 70% = total occupational impairment; 100% = total social impairment</w:t>
      </w:r>
    </w:p>
    <w:p>
      <w:pPr>
        <w:spacing w:after="240"/>
      </w:pPr>
      <w:r>
        <w:t xml:space="preserve">Evidence Needed: C&amp;P exam covering PTSD criteria (flashbacks, nightmares, hypervigilance, avoidance, emotional numbing); psychiatry/psychology treatment records; VA mental health treatment</w:t>
      </w:r>
    </w:p>
    <w:r>
      <w:br w:type="page"/>
    </w:r>
    <w:p>
      <w:pPr>
        <w:pStyle w:val="Heading2"/>
        <w:spacing w:after="120" w:before="240"/>
      </w:pPr>
      <w:r>
        <w:t xml:space="preserve">Depression (Major Depressive Disorder) (DC 9434)</w:t>
      </w:r>
    </w:p>
    <w:p>
      <w:pPr>
        <w:spacing w:after="60"/>
      </w:pPr>
      <w:r>
        <w:t xml:space="preserve">Rating Criteria: 10% = mild; 30% = moderate; 50% = severe; 70% = total occupational impairment; 100% = total social impairment</w:t>
      </w:r>
    </w:p>
    <w:p>
      <w:pPr>
        <w:spacing w:after="240"/>
      </w:pPr>
      <w:r>
        <w:t xml:space="preserve">Evidence Needed: C&amp;P mental health exam; psychiatry treatment records; depression screening scores (PHQ-9); suicidality history if applicable</w:t>
      </w:r>
    </w:p>
    <w:p>
      <w:pPr>
        <w:pStyle w:val="Heading2"/>
        <w:spacing w:after="120" w:before="240"/>
      </w:pPr>
      <w:r>
        <w:t xml:space="preserve">Sleep Disorder (DC 6847)</w:t>
      </w:r>
    </w:p>
    <w:p>
      <w:pPr>
        <w:spacing w:after="60"/>
      </w:pPr>
      <w:r>
        <w:t xml:space="preserve">Rating Criteria: 10% = occasional; 20% = intermittent; 30% = frequent; 50% = chronic sleep disruption affecting work</w:t>
      </w:r>
    </w:p>
    <w:p>
      <w:pPr>
        <w:spacing w:after="240"/>
      </w:pPr>
      <w:r>
        <w:t xml:space="preserve">Evidence Needed: Sleep log documenting sleep/wake patterns; sleep study (polysomnography) if obtained; sleep medicine note documenting diagnosis; medications for sleep</w:t>
      </w:r>
    </w:p>
    <w:r>
      <w:br w:type="page"/>
    </w:r>
    <w:p>
      <w:pPr>
        <w:pStyle w:val="Heading2"/>
        <w:spacing w:after="120" w:before="240"/>
      </w:pPr>
      <w:r>
        <w:t xml:space="preserve">Hearing Loss (DC 6100)</w:t>
      </w:r>
    </w:p>
    <w:p>
      <w:pPr>
        <w:spacing w:after="60"/>
      </w:pPr>
      <w:r>
        <w:t xml:space="preserve">Rating Criteria: Based on audiometric thresholds; rating tables in 38 CFR 4.124</w:t>
      </w:r>
    </w:p>
    <w:p>
      <w:pPr>
        <w:spacing w:after="240"/>
      </w:pPr>
      <w:r>
        <w:t xml:space="preserve">Evidence Needed: Audiogram from VA or licensed audiologist; baseline audiogram if available</w:t>
      </w:r>
    </w:p>
    <w:p>
      <w:pPr>
        <w:pStyle w:val="Heading2"/>
        <w:spacing w:after="120" w:before="240"/>
      </w:pPr>
      <w:r>
        <w:t xml:space="preserve">Tinnitus (DC 6260)</w:t>
      </w:r>
    </w:p>
    <w:p>
      <w:pPr>
        <w:spacing w:after="60"/>
      </w:pPr>
      <w:r>
        <w:t xml:space="preserve">Rating Criteria: Only rated at 10%; present or absent; no higher ratings</w:t>
      </w:r>
    </w:p>
    <w:p>
      <w:pPr>
        <w:spacing w:after="240"/>
      </w:pPr>
      <w:r>
        <w:t xml:space="preserve">Evidence Needed: Audiogram; statement from veteran and/or provider confirming tinnitus; documented frequency (ringing) and loudness</w:t>
      </w:r>
    </w:p>
    <w:r>
      <w:br w:type="page"/>
    </w:r>
    <w:p>
      <w:pPr>
        <w:pStyle w:val="Heading2"/>
        <w:spacing w:after="120" w:before="240"/>
      </w:pPr>
      <w:r>
        <w:t xml:space="preserve">Vestibular Disorder (DC 6204)</w:t>
      </w:r>
    </w:p>
    <w:p>
      <w:pPr>
        <w:spacing w:after="60"/>
      </w:pPr>
      <w:r>
        <w:t xml:space="preserve">Rating Criteria: Based on severity of vertigo/balance impairment; 10% to 100%</w:t>
      </w:r>
    </w:p>
    <w:p>
      <w:pPr>
        <w:spacing w:after="240"/>
      </w:pPr>
      <w:r>
        <w:t xml:space="preserve">Evidence Needed: Neurology exam documenting vestibular dysfunction; balance testing if available; documentation of vertigo frequency and impact</w:t>
      </w:r>
    </w:p>
    <w:r>
      <w:br w:type="page"/>
    </w:r>
    <w:p>
      <w:pPr>
        <w:pStyle w:val="Heading1"/>
        <w:spacing w:after="120" w:before="240"/>
      </w:pPr>
      <w:r>
        <w:t xml:space="preserve">Section 4: VA Form 21-526EZ Instructions for TBI + Secondaries</w:t>
      </w:r>
    </w:p>
    <w:p>
      <w:pPr>
        <w:spacing w:after="120"/>
      </w:pPr>
      <w:r>
        <w:t xml:space="preserve">When completing the form:</w:t>
      </w:r>
    </w:p>
    <w:p>
      <w:pPr>
        <w:spacing w:after="120"/>
      </w:pPr>
      <w:r>
        <w:t xml:space="preserve">Question: "What condition(s) are you claiming?"</w:t>
      </w:r>
    </w:p>
    <w:p>
      <w:pPr>
        <w:spacing w:after="120"/>
      </w:pPr>
      <w:r>
        <w:t xml:space="preserve">EXAMPLE ENTRY 1:</w:t>
      </w:r>
    </w:p>
    <w:p>
      <w:pPr>
        <w:spacing w:after="120"/>
      </w:pPr>
      <w:r>
        <w:t xml:space="preserve">Condition: Traumatic brain injury (TBI)</w:t>
      </w:r>
    </w:p>
    <w:p>
      <w:pPr>
        <w:spacing w:after="120"/>
      </w:pPr>
      <w:r>
        <w:t xml:space="preserve">When did it start?: [Blast event date]</w:t>
      </w:r>
    </w:p>
    <w:p>
      <w:pPr>
        <w:spacing w:after="120"/>
      </w:pPr>
      <w:r>
        <w:t xml:space="preserve">Service connection?: Yes, related to military service</w:t>
      </w:r>
    </w:p>
    <w:p>
      <w:pPr>
        <w:spacing w:after="120"/>
      </w:pPr>
      <w:r>
        <w:t xml:space="preserve">
EXAMPLE ENTRY 2:</w:t>
      </w:r>
    </w:p>
    <w:p>
      <w:pPr>
        <w:spacing w:after="120"/>
      </w:pPr>
      <w:r>
        <w:t xml:space="preserve">Condition: Migraines</w:t>
      </w:r>
    </w:p>
    <w:p>
      <w:pPr>
        <w:spacing w:after="120"/>
      </w:pPr>
      <w:r>
        <w:t xml:space="preserve">When did it start?: [When migraines began, usually weeks/months after TBI]</w:t>
      </w:r>
    </w:p>
    <w:p>
      <w:pPr>
        <w:spacing w:after="120"/>
      </w:pPr>
      <w:r>
        <w:t xml:space="preserve">Service connection?: Yes, secondary to traumatic brain injury</w:t>
      </w:r>
    </w:p>
    <w:p>
      <w:pPr>
        <w:spacing w:after="120"/>
      </w:pPr>
      <w:r>
        <w:t xml:space="preserve">Explanation: "Blast-induced trigeminal nerve injury causing migraine headaches"</w:t>
      </w:r>
    </w:p>
    <w:p>
      <w:pPr>
        <w:spacing w:after="120"/>
      </w:pPr>
      <w:r>
        <w:t xml:space="preserve">
EXAMPLE ENTRY 3:</w:t>
      </w:r>
    </w:p>
    <w:p>
      <w:pPr>
        <w:spacing w:after="120"/>
      </w:pPr>
      <w:r>
        <w:t xml:space="preserve">Condition: PTSD</w:t>
      </w:r>
    </w:p>
    <w:p>
      <w:pPr>
        <w:spacing w:after="120"/>
      </w:pPr>
      <w:r>
        <w:t xml:space="preserve">When did it start?: [Blast event date OR shortly after]</w:t>
      </w:r>
    </w:p>
    <w:p>
      <w:pPr>
        <w:spacing w:after="120"/>
      </w:pPr>
      <w:r>
        <w:t xml:space="preserve">Service connection?: Yes, secondary to combat trauma and service-connected TBI</w:t>
      </w:r>
    </w:p>
    <w:p>
      <w:pPr>
        <w:spacing w:after="120"/>
      </w:pPr>
      <w:r>
        <w:t xml:space="preserve">Explanation: "Same blast event caused both TBI and trauma exposure; TBI increases PTSD vulnerability"</w:t>
      </w:r>
    </w:p>
    <w:p>
      <w:pPr>
        <w:spacing w:after="120"/>
      </w:pPr>
      <w:r>
        <w:t xml:space="preserve">
Key language on the form: Enter "secondary to traumatic brain injury" on every secondary condition entry. This tells VA to rate it under the secondary condition pathway, not as a standalone claim.</w:t>
      </w:r>
    </w:p>
    <w:p>
      <w:pPr>
        <w:pStyle w:val="Heading1"/>
        <w:spacing w:after="120" w:before="240"/>
      </w:pPr>
      <w:r>
        <w:t xml:space="preserve">Section 5: Evidence Package Organization</w:t>
      </w:r>
    </w:p>
    <w:p>
      <w:pPr>
        <w:spacing w:after="120"/>
      </w:pPr>
      <w:r>
        <w:t xml:space="preserve">Organize your evidence into 5 labeled PDFs (see Document 8 for complete system):</w:t>
      </w:r>
    </w:p>
    <w:p>
      <w:pPr>
        <w:spacing w:after="120"/>
      </w:pPr>
      <w:r>
        <w:t xml:space="preserve">PDF 1: Medical Evidence — VA records, neuropsych evaluation, imaging, provider notes</w:t>
      </w:r>
    </w:p>
    <w:p>
      <w:pPr>
        <w:spacing w:after="120"/>
      </w:pPr>
      <w:r>
        <w:t xml:space="preserve">PDF 2: Blast Documentation — FOIA records, unit history, buddy statements, personal statement</w:t>
      </w:r>
    </w:p>
    <w:p>
      <w:pPr>
        <w:spacing w:after="120"/>
      </w:pPr>
      <w:r>
        <w:t xml:space="preserve">PDF 3: Nexus Letters — Primary TBI nexus + nexus for each secondary condition</w:t>
      </w:r>
    </w:p>
    <w:p>
      <w:pPr>
        <w:spacing w:after="120"/>
      </w:pPr>
      <w:r>
        <w:t xml:space="preserve">PDF 4: Functional Impact — Domain symptom worksheet, 90-day symptom log, work history documents</w:t>
      </w:r>
    </w:p>
    <w:p>
      <w:pPr>
        <w:spacing w:after="120"/>
      </w:pPr>
      <w:r>
        <w:t xml:space="preserve">PDF 5: VA Records — C-file, treatment history, medications list, prior rating decisions</w:t>
      </w:r>
    </w:p>
    <w:p>
      <w:pPr>
        <w:spacing w:after="120"/>
      </w:pPr>
      <w:r>
        <w:t xml:space="preserve">
All PDFs uploaded with one Master Filing Cover Sheet that maps each PDF to the specific conditions it supports.</w:t>
      </w:r>
    </w:p>
    <w:p>
      <w:pPr>
        <w:pStyle w:val="Heading1"/>
        <w:spacing w:after="120" w:before="240"/>
      </w:pPr>
      <w:r>
        <w:t xml:space="preserve">Section 6: Effective Date Optimization</w:t>
      </w:r>
    </w:p>
    <w:p>
      <w:pPr>
        <w:spacing w:after="120"/>
      </w:pPr>
      <w:r>
        <w:t xml:space="preserve">File Intent to File (ITF) on [date]: This becomes your effective date for ALL conditions</w:t>
      </w:r>
    </w:p>
    <w:p>
      <w:pPr>
        <w:spacing w:after="120"/>
      </w:pPr>
      <w:r>
        <w:t xml:space="preserve">File VA Form 21-526EZ within 4 months with all conditions (primary TBI + all secondaries)</w:t>
      </w:r>
    </w:p>
    <w:p>
      <w:pPr>
        <w:spacing w:after="120"/>
      </w:pPr>
      <w:r>
        <w:t xml:space="preserve">Result: Effective date for TBI, Migraines, PTSD, Depression, Sleep Disorder, Hearing Loss, Tinnitus, Vestibular = your ITF date</w:t>
      </w:r>
    </w:p>
    <w:p>
      <w:pPr>
        <w:spacing w:after="120"/>
      </w:pPr>
      <w:r>
        <w:t xml:space="preserve">Example: ITF filed 01/15/2024. VA rating decision issued 08/15/2024. All conditions retroactively rated to 01/15/2024. Back pay includes all months from ITF date to rating decision date for all conditions.</w:t>
      </w:r>
    </w:p>
    <w:p>
      <w:pPr>
        <w:spacing w:after="120"/>
      </w:pPr>
      <w:r>
        <w:t xml:space="preserve">If you instead filed secondaries later, their effective dates would be delayed, reducing back pay.</w:t>
      </w:r>
    </w:p>
    <w:p>
      <w:pPr>
        <w:spacing w:before="240"/>
      </w:pPr>
      <w:r>
        <w:t xml:space="preserve">FWD Assist HQ — Not legal advice. Your VSO can ensure proper form completion and evidence organization.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2026-04-13T05:47:06.805Z</dcterms:created>
  <dcterms:modified xsi:type="dcterms:W3CDTF">2026-04-13T05:47:06.805Z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