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480"/>
        <w:jc w:val="center"/>
      </w:pPr>
      <w:r>
        <w:rPr>
          <w:rFonts w:ascii="Arial" w:cs="Arial" w:eastAsia="Arial" w:hAnsi="Arial"/>
          <w:b/>
          <w:bCs/>
          <w:color w:val="1A1A2E"/>
          <w:sz w:val="44"/>
          <w:szCs w:val="44"/>
        </w:rPr>
        <w:t xml:space="preserve">VA Secondary Claims</w:t>
      </w:r>
    </w:p>
    <w:p>
      <w:pPr>
        <w:spacing w:after="480"/>
        <w:jc w:val="center"/>
      </w:pPr>
      <w:r>
        <w:rPr>
          <w:rFonts w:ascii="Arial" w:cs="Arial" w:eastAsia="Arial" w:hAnsi="Arial"/>
          <w:b/>
          <w:bCs/>
          <w:color w:val="E94560"/>
          <w:sz w:val="44"/>
          <w:szCs w:val="44"/>
        </w:rPr>
        <w:t xml:space="preserve">Nexus Letter Toolkit</w:t>
      </w:r>
    </w:p>
    <w:p>
      <w:pPr>
        <w:spacing w:after="240"/>
        <w:jc w:val="center"/>
      </w:pPr>
      <w:r>
        <w:rPr>
          <w:rFonts w:ascii="Arial" w:cs="Arial" w:eastAsia="Arial" w:hAnsi="Arial"/>
          <w:sz w:val="24"/>
          <w:szCs w:val="24"/>
        </w:rPr>
        <w:t xml:space="preserve">Templates and Provider Briefs for 38 CFR 3.310</w:t>
      </w:r>
    </w:p>
    <w:p>
      <w:pPr>
        <w:spacing w:after="120"/>
      </w:pPr>
      <w:r>
        <w:t xml:space="preserve"/>
      </w:r>
    </w:p>
    <w:p>
      <w:r>
        <w:br w:type="pag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What a Secondary Nexus Letter Must Include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Per 38 CFR 3.310, a nexus letter for secondary service connection must include: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Provider credentials and qualifications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Name of primary service-connected condition with diagnostic code and current rating percentage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Name of secondary condition with current medical diagnosis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Explanation of the biological, psychological, or pharmacological mechanism connecting the two conditions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Reference to medical literature supporting the connection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Address temporal relationship (when secondary condition onset relative to primary)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Conclude with: "At least as likely as not caused by or aggravated by [primary condition]"</w:t>
      </w:r>
    </w:p>
    <w:p>
      <w:pPr>
        <w:spacing w:after="240"/>
      </w:pPr>
      <w:r>
        <w:t xml:space="preserve"/>
      </w:r>
    </w:p>
    <w:p>
      <w:r>
        <w:br w:type="pag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Provider Brief Template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Give this one-page document to your treating physician:</w:t>
      </w:r>
    </w:p>
    <w:p>
      <w:pPr>
        <w:spacing w:after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PROVIDER BRIEF: Secondary Service Connection Nexus Letter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Dear Dr. [PROVIDER NAME],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I am requesting a nexus letter from you for a VA secondary service connection claim. The VA uses nexus letters to establish a connection between a service-connected condition and a new condition I believe developed as a result of, or was aggravated by, my service-connected disability.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pStyle w:val="Heading2"/>
              <w:spacing w:after="120" w:before="180"/>
            </w:pPr>
            <w:r>
              <w:rPr>
                <w:rFonts w:ascii="Arial" w:cs="Arial" w:eastAsia="Arial" w:hAnsi="Arial"/>
                <w:b/>
                <w:bCs/>
                <w:color w:val="1A1A2E"/>
                <w:sz w:val="28"/>
                <w:szCs w:val="28"/>
              </w:rPr>
              <w:t xml:space="preserve">What the VA Legal Standard Requires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The VA does not require "beyond a reasonable doubt" certainty. The legal standard is "at least as likely as not" — meaning 50% or better probability that my [PRIMARY CONDITION] caused or aggravated my [SECONDARY CONDITION].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pStyle w:val="Heading2"/>
              <w:spacing w:after="120" w:before="180"/>
            </w:pPr>
            <w:r>
              <w:rPr>
                <w:rFonts w:ascii="Arial" w:cs="Arial" w:eastAsia="Arial" w:hAnsi="Arial"/>
                <w:b/>
                <w:bCs/>
                <w:color w:val="1A1A2E"/>
                <w:sz w:val="28"/>
                <w:szCs w:val="28"/>
              </w:rPr>
              <w:t xml:space="preserve">What Your Letter Should Address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Your qualifications and credentials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My primary service-connected condition: [CONDITION NAME] (Diagnostic Code: [CODE], Current Rating: [%])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My current secondary condition diagnosis: [CONDITION NAME with date of diagnosis]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The biological/psychological/pharmacological mechanism explaining how [PRIMARY] causes [SECONDARY]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Medical literature or established medical knowledge supporting this connection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The temporal relationship (when [SECONDARY] began relative to [PRIMARY])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Your opinion: "At least as likely as not that [SECONDARY CONDITION] is caused by or aggravated by [PRIMARY CONDITION]"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Thank you for your assistance with my VA benefits claim.</w:t>
            </w:r>
          </w:p>
        </w:tc>
      </w:tr>
    </w:tbl>
    <w:p>
      <w:pPr>
        <w:spacing w:after="240"/>
      </w:pPr>
      <w:r>
        <w:t xml:space="preserve"/>
      </w:r>
    </w:p>
    <w:p>
      <w:r>
        <w:br w:type="pag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Condition-Specific Nexus Letter Templates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Use these frameworks as starting points. Customize them with your specific medical details, dates, and medication information.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Template 1: PTSD → Sleep Apnea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[VETERAN NAME] has PTSD rated at [X]% (Diagnostic Code 9411). Sleep apnea was diagnosed [DATE OF DIAGNOSIS]. The HPA axis dysregulation characteristic of PTSD produces hyperarousal and fragmented sleep architecture that directly causes and/or aggravates obstructive sleep apnea. This pathophysiological mechanism is well-documented in peer-reviewed literature. It is at least as likely as not that [VETERAN's] sleep apnea was caused by or aggravated by the service-connected PTSD.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Template 2: PTSD → Hypertension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[VETERAN NAME] has PTSD rated at [X]% (Diagnostic Code 9411). The sympathetic nervous system activation and chronic cortisol elevation associated with PTSD directly contributes to sustained blood pressure elevation. Unmedicated baseline blood pressure of [X/Y] mmHg documented on [DATE] establishes severity. The VA case Ingram v. Collins emphasizes the importance of pre-medication baseline readings. It is at least as likely as not that [VETERAN's] hypertension was caused by or aggravated by the service-connected PTSD.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Template 3: PTSD → GERD (Dual Pathway)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[VETERAN NAME] has PTSD rated at [X]% (Diagnostic Code 9411). GERD was diagnosed [DATE OF DIAGNOSIS]. Two independent mechanisms establish causation: Pathway 1 (Neurobiological): Chronic stress hormones inflame the gastric mucosa and weaken the lower esophageal sphincter. Pathway 2 (Pharmacological): [SSRI MEDICATION] prescribed for PTSD beginning [DATE] is a well-documented cause of pharmacological LES relaxation. GI symptoms began [DATE], approximately [X] days after medication initiation. It is at least as likely as not that [VETERAN's] GERD was caused by or aggravated by the service-connected PTSD and/or its treatment.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Template 4: PTSD → IBS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[VETERAN NAME] has PTSD rated at [X]% (Diagnostic Code 9411). IBS was diagnosed [DATE OF DIAGNOSIS]. PTSD dysregulates the gut-brain axis, altering intestinal motility, visceral sensitivity, and intestinal permeability — all core pathophysiological features of IBS. This mechanism is extensively documented in peer-reviewed neurogastroenterology literature. It is at least as likely as not that [VETERAN's] IBS was caused by or aggravated by the service-connected PTSD.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Template 5: PTSD → Erectile Dysfunction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[VETERAN NAME] has PTSD rated at [X]% (Diagnostic Code 9411). Erectile dysfunction was diagnosed [DATE OF DIAGNOSIS]. Two independent mechanisms establish causation: (1) Psychological mechanism — PTSD-related anxiety, hyperarousal, and emotional numbing impair sexual function; (2) Pharmacological mechanism — [SSRI/SNRI MEDICATION] prescribed for PTSD is a documented cause of sexual dysfunction. It is at least as likely as not that [VETERAN's] erectile dysfunction was caused by or aggravated by the service-connected PTSD and/or its treatment.</w:t>
            </w:r>
          </w:p>
        </w:tc>
      </w:tr>
    </w:tbl>
    <w:p>
      <w:pPr>
        <w:spacing w:after="240"/>
      </w:pPr>
      <w:r>
        <w:t xml:space="preserve"/>
      </w:r>
    </w:p>
    <w:p>
      <w:r>
        <w:br w:type="pag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Template 6: MSK → Contralateral Joint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[VETERAN NAME] has service-connected [LEFT SIDE JOINT CONDITION] rated at [X]% (Diagnostic Code [CODE]). [RIGHT SIDE JOINT CONDITION] was diagnosed [DATE]. Gait analysis dated [DATE] documents an antalgic gait with compensatory weight shift to the [OPPOSITE] side. This altered biomechanics and kinetic chain dysfunction has caused and/or aggravated the contralateral [RIGHT SIDE] joint condition. It is at least as likely as not that [VETERAN's] [RIGHT SIDE CONDITION] was caused by or aggravated by the service-connected [LEFT SIDE CONDITION].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Template 7: Lumbar Condition → Radiculopathy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[VETERAN NAME] has service-connected lumbar condition rated at [X]% (Diagnostic Code [CODE]). Radiculopathy was diagnosed [DATE]. Objective imaging dated [DATE] ([MRI/CT/IMAGING TYPE]) demonstrates nerve root compression at [LEVEL]. This nerve compression is a direct result of the service-connected lumbar condition. It is at least as likely as not that [VETERAN's] radiculopathy was caused by or aggravated by the service-connected lumbar condition.</w:t>
            </w:r>
          </w:p>
        </w:tc>
      </w:tr>
    </w:tbl>
    <w:p>
      <w:pPr>
        <w:spacing w:after="240"/>
      </w:pPr>
      <w:r>
        <w:t xml:space="preserve"/>
      </w:r>
    </w:p>
    <w:p>
      <w:r>
        <w:br w:type="pag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Pyramiding Warning for Mental Health Claims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Important: If you are filing for depression, anxiety, or another mental health condition as secondary to PTSD, the nexus letter MUST address clinical distinction.</w:t>
      </w:r>
    </w:p>
    <w:p>
      <w:pPr>
        <w:spacing w:after="12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VA cannot rate the same symptom twice under two different diagnostic codes (38 CFR 4.14). Depressive symptoms that overlap significantly with PTSD symptoms may be denied as "pyramiding."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How to Prevent Pyramiding Denials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Ask your psychiatrist directly: "Is my [secondary condition] clinically distinct from my PTSD?"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Nexus letter must explicitly address which symptoms of the secondary condition are NOT part of the PTSD diagnosis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Document separate onset dates if possible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Show separate treatment (different medication class, different therapy approach)</w:t>
      </w:r>
    </w:p>
    <w:p>
      <w:pPr>
        <w:spacing w:after="240"/>
      </w:pPr>
      <w:r>
        <w:t xml:space="preserve"/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1A1A2E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color w:val="1A1A2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2026-04-13T04:56:05.780Z</dcterms:created>
  <dcterms:modified xsi:type="dcterms:W3CDTF">2026-04-13T04:56:05.780Z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