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8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Pyramiding Prevention Guide</w:t>
      </w:r>
    </w:p>
    <w:p>
      <w:pPr>
        <w:spacing w:after="4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Understanding and Avoiding Pyramiding Denials</w:t>
      </w:r>
    </w:p>
    <w:p>
      <w:pPr>
        <w:spacing w:after="240"/>
        <w:jc w:val="center"/>
      </w:pPr>
      <w:r>
        <w:rPr>
          <w:rFonts w:ascii="Arial" w:cs="Arial" w:eastAsia="Arial" w:hAnsi="Arial"/>
          <w:sz w:val="24"/>
          <w:szCs w:val="24"/>
        </w:rPr>
        <w:t xml:space="preserve">Essential for Mental Health Secondary Claims</w:t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What is Pyramiding?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Pyramiding occurs when you try to rate the same symptom under two different diagnostic codes. VA prohibits this under 38 CFR 4.14.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Classic Example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Insomnia is a symptom of PTSD (criterion C5 in the DSM-5 definition). Filing insomnia as a separate service-connected condition = pyramiding = DENIAL.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Another Example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Depression symptoms (depressed mood, anhedonia, sleep disturbance) overlap significantly with PTSD symptoms. Filing depression secondary to PTSD without establishing clinical distinction = high pyramiding risk = likely DENIAL.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When Pyramiding Does NOT Apply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Pyramiding rules do not apply in these situations: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1. Clinically Distinct Conditions with Non-Overlapping Symptoms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Example: GERD secondary to PTSD. GI symptoms (reflux, heartburn, regurgitation) are DISTINCT from PTSD symptoms (nightmares, flashbacks, hypervigilance). NOT pyramiding.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2. Physical Conditions Secondary to Mental Health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Example: Sleep apnea secondary to PTSD. Sleep apnea involves breathing obstruction and oxygen desaturation — completely different pathology from PTSD's neurobiological symptoms. NOT pyramiding.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3. Conditions Caused by Medication (Separate Mechanism)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Example: GERD caused by SSRI medication prescribed for PTSD. The pharmacological pathway is separate from the primary PTSD rating. The nexus letter should address the medication side effect as a distinct mechanism.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High-Risk Claims for Pyramiding (Mental Health)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500"/>
        <w:gridCol w:w="23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Condition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Primary Condition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Risk Level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Depression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E94560"/>
              </w:rPr>
              <w:t xml:space="preserve">HIGH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Anxiety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E94560"/>
              </w:rPr>
              <w:t xml:space="preserve">HIGH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Insomnia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88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VERY HIGH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How to Prevent Pyramiding Denials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If you are filing a mental health condition secondary to another mental health condition, follow these steps: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Ask your psychiatrist or psychologist directly: "Is my [secondary condition] clinically distinct from my PTSD?"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Request documentation in the nexus letter of symptoms that are NOT part of the primary condition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Document separate onset dates if possible (e.g., "PTSD diagnosed in 2010; depression diagnosed in 2015")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Show separate treatment approaches (e.g., "Treated with medications A &amp; B for PTSD; medications C &amp; D for depression")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Request the nexus letter explicitly state: "These conditions are clinically distinct despite some symptom overlap"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Safe Secondary Claims (Low Pyramiding Risk)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These secondary claims have minimal pyramiding risk because the secondary condition involves completely different symptoms: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PTSD → Sleep Apnea (breathing obstruction, oxygen desaturation)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PTSD → Hypertension (elevated blood pressure, cardiovascular)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PTSD → GERD (gastric reflux, esophageal inflammation)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PTSD → IBS (intestinal motility, GI symptoms)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PTSD → Erectile Dysfunction (sexual function)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PTSD → Migraines (neurological headaches)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Any Musculoskeletal → Another Musculoskeletal (different joint, different pathology)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Red Flags That Indicate Pyramiding Risk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Symptoms described as "same" or "overlapping" in medical records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Nexus letter doesn't address clinical distinction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Both conditions treated with identical medication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Both conditions listed with identical dates of onset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Secondary condition symptoms listed in primary condition's disability rating narrative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2026-04-13T04:56:18.967Z</dcterms:created>
  <dcterms:modified xsi:type="dcterms:W3CDTF">2026-04-13T04:56:18.967Z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