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PTSD Secondary Conditions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Evidence-Gathering Guide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Essential Evidence Strategies for Winning Your Claim</w:t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Sleep Apnea Secondary to PTSD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Polysomnography (sleep study) — objective proof of apnea events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CPAP prescription and usage records — shows treatment compliance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from sleep medicine specialist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Critical Documentation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Document sleep disturbance in your PTSD treatment records BEFORE the sleep study. This establishes the temporal relationship and makes the causation argument stronger.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Rating Criteria (DC 6847)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0% — Asymptomatic/no need for treatment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30% — Persistent daytime hypersomnolence despite treatment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50% — Requires CPAP therapy for control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100% — Chronic respiratory failure with hypoxemia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Hypertension Secondary to PTSD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Blood pressure records spanning at least 6 months (more is better)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Unmedicated baseline blood pressure documentation (critical under Ingram v. Collins)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Current medication list with start dates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sympathetic nervous system activation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Critical Documentation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VA case Ingram v. Collins requires documentation of unmedicated baseline blood pressure. If you cannot find pre-medication records, ask your VA doctor to note this in the claim evidence.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PACT Act Crosscheck: If you served in a toxic exposure area (SW Asia, burn pits), file hypertension as presumptive FIRST. Presumptive is easier to win.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Rating Criteria (DC 7101)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10% — Requires antihypertensive medication for control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20% — Diastolic consistently 100–110 mmHg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40% — Systolic 180+ or diastolic 110+ OR end-organ damage (stroke, MI, renal disease)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GERD Secondary to PTSD/Medications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GI specialist records documenting GERD diagnosis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Upper endoscopy report (if available) showing esophageal inflammation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Medication timeline showing SSRI start date and symptom onset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Pharmacy records or prescribing history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both pathways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Critical Documentation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Document BOTH pathways in your claim evidence: (1) Neurobiological (PTSD → gut-brain axis dysfunction) AND (2) Pharmacological (SSRI medication side effect). Two mechanisms = stronger claim.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Rating Criteria (DC 7346)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10% — Managed by diet modification and/or medication, no persistent distress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30% — Persistent distress with dysphagia (difficulty swallowing), pyrosis (heartburn), or regurgitation despite treatment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IBS Secondary to PTSD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GI specialist diagnosis documenting IBS (Rome IV criteria)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Treatment records showing medication and symptom response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gut-brain axis dysregulation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Rating Criteria (DC 7319)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10% — Mild: occasional diarrhea or constipation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30% — Severe: frequent diarrhea/constipation with abdominal pain affecting function</w:t>
      </w:r>
    </w:p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Erectile Dysfunction Secondary to PTSD/Medications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Required Evidence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Urology or primary care diagnosis of 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Medication records showing SSRI/SNRI medications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Nexus letter addressing psychological and/or pharmacological mechanisms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Why This Matters — SMC-K Benefit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Even a 0% rating for erectile dysfunction unlocks Special Monthly Compensation K (SMC-K): $127.46/month = $1,529.52/year. Over 30 years: $45,000+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Don't let embarrassment prevent you from filing. This is a legitimate medical condition documented in your treatment records. VA examiners evaluate this professionally.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Evidence Cover Letter Template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Include this template with your claim to map evidence to the three required elements for secondary service connection: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SECONDARY CLAIMS EVIDENCE COVER LETTER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[DATE]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VA Regional Processing Office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[ADDRESS]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Re: Secondary Service Connection Claim — [VETERAN NAME], [VA FILE NUMBER]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Dear VA Adjudicator,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 am submitting evidence in support of my secondary service connection claim for [SECONDARY CONDITION] as caused by or aggravated by my service-connected [PRIMARY CONDITION]. The following documents establish the three elements required under 38 CFR 3.310: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pStyle w:val="Heading2"/>
              <w:spacing w:after="120" w:before="180"/>
            </w:pPr>
            <w:r>
              <w:rPr>
                <w:rFonts w:ascii="Arial" w:cs="Arial" w:eastAsia="Arial" w:hAnsi="Arial"/>
                <w:b/>
                <w:bCs/>
                <w:color w:val="1A1A2E"/>
                <w:sz w:val="28"/>
                <w:szCs w:val="28"/>
              </w:rPr>
              <w:t xml:space="preserve">Element 1: Current Diagnosis of Secondary Condition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[DOCUMENT TYPE and DATE] — [PROVIDER NAME], [SPECIALTY] — Diagnoses [SECONDARY CONDITION]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pStyle w:val="Heading2"/>
              <w:spacing w:after="120" w:before="180"/>
            </w:pPr>
            <w:r>
              <w:rPr>
                <w:rFonts w:ascii="Arial" w:cs="Arial" w:eastAsia="Arial" w:hAnsi="Arial"/>
                <w:b/>
                <w:bCs/>
                <w:color w:val="1A1A2E"/>
                <w:sz w:val="28"/>
                <w:szCs w:val="28"/>
              </w:rPr>
              <w:t xml:space="preserve">Element 2: Service Connection for Primary Condition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Current Rating Decision showing [PRIMARY CONDITION] service-connected at [X]% (DC [CODE])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pStyle w:val="Heading2"/>
              <w:spacing w:after="120" w:before="180"/>
            </w:pPr>
            <w:r>
              <w:rPr>
                <w:rFonts w:ascii="Arial" w:cs="Arial" w:eastAsia="Arial" w:hAnsi="Arial"/>
                <w:b/>
                <w:bCs/>
                <w:color w:val="1A1A2E"/>
                <w:sz w:val="28"/>
                <w:szCs w:val="28"/>
              </w:rPr>
              <w:t xml:space="preserve">Element 3: Nexus Between Conditions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Nexus Letter dated [DATE] from [PROVIDER NAME], [CREDENTIALS]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[SUPPORTING MEDICAL RECORDS documenting mechanism]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Thank you for your consideration of my claim.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2026-04-13T04:56:18.941Z</dcterms:created>
  <dcterms:modified xsi:type="dcterms:W3CDTF">2026-04-13T04:56:18.941Z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