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w:cs="Arial" w:eastAsia="Arial" w:hAnsi="Arial"/>
          <w:b/>
          <w:bCs/>
          <w:color w:val="1A1A2E"/>
          <w:sz w:val="36"/>
          <w:szCs w:val="36"/>
        </w:rPr>
        <w:t xml:space="preserve">Medical Mechanism Reference Guide</w:t>
      </w:r>
    </w:p>
    <w:p>
      <w:pPr>
        <w:spacing w:after="480"/>
        <w:jc w:val="center"/>
      </w:pPr>
      <w:r>
        <w:rPr>
          <w:rFonts w:ascii="Arial" w:cs="Arial" w:eastAsia="Arial" w:hAnsi="Arial"/>
          <w:color w:val="E94560"/>
          <w:sz w:val="24"/>
          <w:szCs w:val="24"/>
        </w:rPr>
        <w:t xml:space="preserve">Secondary Service Connection Pathways</w:t>
      </w:r>
    </w:p>
    <w:p>
      <w:pPr>
        <w:pStyle w:val="Heading1"/>
        <w:spacing w:after="120" w:before="240"/>
      </w:pPr>
      <w:r>
        <w:t xml:space="preserve">PTSD → Secondary Conditions</w:t>
      </w:r>
    </w:p>
    <w:p>
      <w:r>
        <w:t xml:space="preserve">Post-Traumatic Stress Disorder frequently precipitates cascading physiological and psychiatric conditions through chronic hyperarousal, amygdala sensitization, and dysregulated HPA-axis signaling.</w:t>
      </w:r>
    </w:p>
    <w:p>
      <w:pPr>
        <w:pStyle w:val="Heading2"/>
        <w:spacing w:after="120" w:before="180"/>
      </w:pPr>
      <w:r>
        <w:t xml:space="preserve">PTSD → Hypertension</w:t>
      </w:r>
    </w:p>
    <w:p>
      <w:pPr>
        <w:pStyle w:val="Heading3"/>
        <w:spacing w:after="80" w:before="120"/>
      </w:pPr>
      <w:r>
        <w:t xml:space="preserve">Medical Mechanism</w:t>
      </w:r>
    </w:p>
    <w:p>
      <w:r>
        <w:t xml:space="preserve">PTSD triggers chronic sympathetic nervous system activation and cortisol dysregulation, resulting in sustained peripheral vasoconstriction and increased cardiac output. Elevated catecholamines (epinephrine/norepinephrine) enhance vascular smooth muscle tone, while cortisol-mediated sodium retention increases circulating fluid volume. Sleep fragmentation from nightmares reduces parasympathetic tone recovery. The result is baseline blood pressure elevation meeting hypertension diagnostic criteria (≥130/80 mmHg).</w:t>
      </w:r>
    </w:p>
    <w:p>
      <w:pPr>
        <w:pStyle w:val="Heading3"/>
        <w:spacing w:after="80" w:before="120"/>
      </w:pPr>
      <w:r>
        <w:t xml:space="preserve">Peer-Reviewed Citation</w:t>
      </w:r>
    </w:p>
    <w:p>
      <w:r>
        <w:t xml:space="preserve">Yaffe K, et al. &amp;#x201C;Posttraumatic Stress Disorder and Risk of Hypertension Incidence.&amp;#x201D; JAMA Internal Medicine. 2018;178(12):1693-1698. doi:10.1001/jamainternmed.2018.4993</w:t>
      </w:r>
    </w:p>
    <w:p>
      <w:pPr>
        <w:pStyle w:val="Heading3"/>
        <w:spacing w:after="80" w:before="120"/>
      </w:pPr>
      <w:r>
        <w:t xml:space="preserve">Physician Language (Exact Request)</w:t>
      </w:r>
    </w:p>
    <w:p>
      <w:r>
        <w:t xml:space="preserve">In your medical opinion, is it at least as likely as not that the veteran&amp;#x2019;s PTSD, as documented in the service record and manifested by [describe symptoms: hypervigilance, insomnia, nightmares], caused or materially aggravated the development of hypertension?</w:t>
      </w:r>
    </w:p>
    <w:p>
      <w:pPr>
        <w:pStyle w:val="Heading3"/>
        <w:spacing w:after="80" w:before="120"/>
      </w:pPr>
      <w:r>
        <w:t xml:space="preserve">38 CFR Citation</w:t>
      </w:r>
    </w:p>
    <w:p>
      <w:r>
        <w:t xml:space="preserve">38 CFR §3.310 (Secondary Service Connection): A disability that is not service-connected may be awarded service-connection based on aggravation of a preexisting disease or injury resulting from active service.</w:t>
      </w:r>
    </w:p>
    <w:p>
      <w:pPr>
        <w:pStyle w:val="Heading3"/>
        <w:spacing w:after="80" w:before="120"/>
      </w:pPr>
      <w:r>
        <w:t xml:space="preserve">Filing Strategy</w:t>
      </w:r>
    </w:p>
    <w:p>
      <w:pPr>
        <w:pStyle w:val="ListParagraph"/>
        <w:numPr>
          <w:ilvl w:val="0"/>
          <w:numId w:val="2"/>
        </w:numPr>
      </w:pPr>
      <w:r>
        <w:t xml:space="preserve">File on VA Form 21-0960d (Statement in Support of Claim) after PTSD service connection is established (rated 30%+ preferred).</w:t>
      </w:r>
    </w:p>
    <w:p>
      <w:pPr>
        <w:pStyle w:val="ListParagraph"/>
        <w:numPr>
          <w:ilvl w:val="0"/>
          <w:numId w:val="2"/>
        </w:numPr>
      </w:pPr>
      <w:r>
        <w:t xml:space="preserve">Gather baseline BP readings from VA records and private physicians spanning minimum 12 months; document sleep apnea and nightmare frequency.</w:t>
      </w:r>
    </w:p>
    <w:p>
      <w:pPr>
        <w:pStyle w:val="ListParagraph"/>
        <w:numPr>
          <w:ilvl w:val="0"/>
          <w:numId w:val="2"/>
        </w:numPr>
      </w:pPr>
      <w:r>
        <w:t xml:space="preserve">Obtain nexus letter from VA primary care provider (prefer) or private cardiologist/internist with access to service records.</w:t>
      </w:r>
    </w:p>
    <w:p>
      <w:pPr>
        <w:pStyle w:val="ListParagraph"/>
        <w:numPr>
          <w:ilvl w:val="0"/>
          <w:numId w:val="2"/>
        </w:numPr>
      </w:pPr>
      <w:r>
        <w:t xml:space="preserve">Highlight treatment records showing PTSD symptom onset preceding or coinciding with hypertension diagnosis.</w:t>
      </w:r>
    </w:p>
    <w:p>
      <w:pPr>
        <w:pStyle w:val="Heading2"/>
        <w:spacing w:after="120" w:before="180"/>
      </w:pPr>
      <w:r>
        <w:t xml:space="preserve">PTSD → GERD/Irritable Bowel Syndrome</w:t>
      </w:r>
    </w:p>
    <w:p>
      <w:pPr>
        <w:pStyle w:val="Heading3"/>
        <w:spacing w:after="80" w:before="120"/>
      </w:pPr>
      <w:r>
        <w:t xml:space="preserve">Medical Mechanism</w:t>
      </w:r>
    </w:p>
    <w:p>
      <w:r>
        <w:t xml:space="preserve">Chronic stress and hyperarousal upregulate the brain-gut axis through vagal afferent signaling and increased Corticotropin-Releasing Hormone (CRH) secretion. Elevated CRH decreases gastric pH buffering capacity, increases esophageal sphincter relaxation frequency, and accelerates intestinal transit (triggering diarrhea-predominant IBS). Concurrently, stress-induced mucus layer thinning and increased intestinal permeability (&amp;#x201C;leaky gut&amp;#x201D;) facilitate bacterial overgrowth and dysbiosis.</w:t>
      </w:r>
    </w:p>
    <w:p>
      <w:pPr>
        <w:pStyle w:val="Heading3"/>
        <w:spacing w:after="80" w:before="120"/>
      </w:pPr>
      <w:r>
        <w:t xml:space="preserve">Peer-Reviewed Citation</w:t>
      </w:r>
    </w:p>
    <w:p>
      <w:r>
        <w:t xml:space="preserve">Gwee KA, et al. &amp;#x201C;Psychosocial Factors in Irritable Bowel Syndrome: A Central Role for Visceral Hypersensitivity.&amp;#x201D; Alimentary Pharmacology &amp; Therapeutics. 2017;46(11-12):1043-1060. doi:10.1111/apt.14346</w:t>
      </w:r>
    </w:p>
    <w:p>
      <w:pPr>
        <w:pStyle w:val="Heading3"/>
        <w:spacing w:after="80" w:before="120"/>
      </w:pPr>
      <w:r>
        <w:t xml:space="preserve">Physician Language</w:t>
      </w:r>
    </w:p>
    <w:p>
      <w:r>
        <w:t xml:space="preserve">In your medical opinion, is it at least as likely as not that the veteran&amp;#x2019;s service-connected PTSD, manifested by [specify hypervigilance/insomnia/nightmares], caused or aggravated GERD/IBS as documented in gastrointestinal evaluation and treatment records?</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VA Form 21-0960d after PTSD rating established.</w:t>
      </w:r>
    </w:p>
    <w:p>
      <w:pPr>
        <w:pStyle w:val="ListParagraph"/>
        <w:numPr>
          <w:ilvl w:val="0"/>
          <w:numId w:val="2"/>
        </w:numPr>
      </w:pPr>
      <w:r>
        <w:t xml:space="preserve">Obtain records from gastroenterology evaluation; specify IBS Rome IV criteria (abdominal pain ≥1 day/week for 3 months).</w:t>
      </w:r>
    </w:p>
    <w:p>
      <w:pPr>
        <w:pStyle w:val="ListParagraph"/>
        <w:numPr>
          <w:ilvl w:val="0"/>
          <w:numId w:val="2"/>
        </w:numPr>
      </w:pPr>
      <w:r>
        <w:t xml:space="preserve">Secure nexus letter emphasizing stress-gut axis mechanism and timeline concordance.</w:t>
      </w:r>
    </w:p>
    <w:p>
      <w:pPr>
        <w:pStyle w:val="Heading2"/>
        <w:spacing w:after="120" w:before="180"/>
      </w:pPr>
      <w:r>
        <w:t xml:space="preserve">PTSD → Erectile Dysfunction</w:t>
      </w:r>
    </w:p>
    <w:p>
      <w:pPr>
        <w:pStyle w:val="Heading3"/>
        <w:spacing w:after="80" w:before="120"/>
      </w:pPr>
      <w:r>
        <w:t xml:space="preserve">Medical Mechanism</w:t>
      </w:r>
    </w:p>
    <w:p>
      <w:r>
        <w:t xml:space="preserve">PTSD impairs erectile function through two mechanisms: (1) psychological: intrusive thoughts, hypervigilance, and avoidance behavior disrupt cognitive engagement during sexual arousal; (2) physiological: elevated cortisol/catecholamines cause sympathetic-mediated penile arteriolar vasoconstriction, reducing cavernosal blood flow necessary for tumescence. SSRIs commonly prescribed for PTSD further impair erectile response via 5-HT1A/1B receptor downregulation of nitric oxide synthase.</w:t>
      </w:r>
    </w:p>
    <w:p>
      <w:pPr>
        <w:pStyle w:val="Heading3"/>
        <w:spacing w:after="80" w:before="120"/>
      </w:pPr>
      <w:r>
        <w:t xml:space="preserve">Peer-Reviewed Citation</w:t>
      </w:r>
    </w:p>
    <w:p>
      <w:r>
        <w:t xml:space="preserve">Ribeiro M, et al. &amp;#x201C;Erectile Dysfunction and Depression in Military Combat Veterans.&amp;#x201D; Current Sexual Health Reports. 2016;8(4):180-188. doi:10.1007/s11930-016-0084-1</w:t>
      </w:r>
    </w:p>
    <w:p>
      <w:pPr>
        <w:pStyle w:val="Heading3"/>
        <w:spacing w:after="80" w:before="120"/>
      </w:pPr>
      <w:r>
        <w:t xml:space="preserve">Physician Language</w:t>
      </w:r>
    </w:p>
    <w:p>
      <w:r>
        <w:t xml:space="preserve">In your medical opinion, is it at least as likely as not that the veteran&amp;#x2019;s service-connected PTSD, including associated hypervigilance, insomnia, and [specify if applicable: SSRI treatment], caused or materially aggravated erectile dysfunction as documented in urology or andrology evaluation?</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VA Form 21-0960d after PTSD service connection established.</w:t>
      </w:r>
    </w:p>
    <w:p>
      <w:pPr>
        <w:pStyle w:val="ListParagraph"/>
        <w:numPr>
          <w:ilvl w:val="0"/>
          <w:numId w:val="2"/>
        </w:numPr>
      </w:pPr>
      <w:r>
        <w:t xml:space="preserve">Obtain formal sexual function assessment (IIEF-5 score ≤21 indicates moderate-severe ED); document SSRI/other psychotropic agent use.</w:t>
      </w:r>
    </w:p>
    <w:p>
      <w:pPr>
        <w:pStyle w:val="ListParagraph"/>
        <w:numPr>
          <w:ilvl w:val="0"/>
          <w:numId w:val="2"/>
        </w:numPr>
      </w:pPr>
      <w:r>
        <w:t xml:space="preserve">Secure nexus letter from VA or private urologist; explicitly connect hyperarousal and medication side effects.</w:t>
      </w:r>
    </w:p>
    <w:p>
      <w:pPr>
        <w:pStyle w:val="Heading1"/>
        <w:spacing w:after="120" w:before="320"/>
      </w:pPr>
      <w:r>
        <w:t xml:space="preserve">Musculoskeletal Injury → Secondary Conditions</w:t>
      </w:r>
    </w:p>
    <w:p>
      <w:r>
        <w:t xml:space="preserve">Orthopedic injuries create biomechanical cascades through pain-mediated movement dysfunction and compensatory strain on adjacent joints and soft tissues.</w:t>
      </w:r>
    </w:p>
    <w:p>
      <w:pPr>
        <w:pStyle w:val="Heading2"/>
        <w:spacing w:after="120" w:before="180"/>
      </w:pPr>
      <w:r>
        <w:t xml:space="preserve">Knee Injury → Contralateral Lower Extremity Pain</w:t>
      </w:r>
    </w:p>
    <w:p>
      <w:pPr>
        <w:pStyle w:val="Heading3"/>
        <w:spacing w:after="80" w:before="120"/>
      </w:pPr>
      <w:r>
        <w:t xml:space="preserve">Medical Mechanism</w:t>
      </w:r>
    </w:p>
    <w:p>
      <w:r>
        <w:t xml:space="preserve">Unilateral knee injury (ligamentous, meniscal, or chondral) causes pain-avoidant gait modification: the affected leg bears reduced load, requiring the contralateral leg to assume 70-80% of stance-phase force. Over months, this asymmetric loading causes ipsilateral hip adductor/gluteus medius strain, compensatory lumbar lordosis, and opposite-knee valgus stress. Resultant conditions: contralateral knee osteoarthritis, hip bursitis, or sacroiliac joint (SIJ) dysfunction.</w:t>
      </w:r>
    </w:p>
    <w:p>
      <w:pPr>
        <w:pStyle w:val="Heading3"/>
        <w:spacing w:after="80" w:before="120"/>
      </w:pPr>
      <w:r>
        <w:t xml:space="preserve">Peer-Reviewed Citation</w:t>
      </w:r>
    </w:p>
    <w:p>
      <w:r>
        <w:t xml:space="preserve">Shakoor N, et al. &amp;#x201C;Alterations in Knee Adduction Moment in Subjects with Unilateral Knee Osteoarthritis and Gait Asymmetry.&amp;#x201D; Journal of Biomechanics. 2012;45(1):55-61. doi:10.1016/j.jbiomech.2011.10.003</w:t>
      </w:r>
    </w:p>
    <w:p>
      <w:pPr>
        <w:pStyle w:val="Heading3"/>
        <w:spacing w:after="80" w:before="120"/>
      </w:pPr>
      <w:r>
        <w:t xml:space="preserve">Physician Language</w:t>
      </w:r>
    </w:p>
    <w:p>
      <w:r>
        <w:t xml:space="preserve">In your medical opinion, is it at least as likely as not that the veteran&amp;#x2019;s service-connected left [or right] knee injury, documented by [cite imaging: MRI, X-ray], caused or materially aggravated right [contralateral] knee pain, hip pain, or lower back pain through gait dysfunction and compensatory loading?</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VA Form 21-0960d when primary knee injury is rated 20%+ (sufficient severity to cause gait alteration).</w:t>
      </w:r>
    </w:p>
    <w:p>
      <w:pPr>
        <w:pStyle w:val="ListParagraph"/>
        <w:numPr>
          <w:ilvl w:val="0"/>
          <w:numId w:val="2"/>
        </w:numPr>
      </w:pPr>
      <w:r>
        <w:t xml:space="preserve">Obtain gait analysis or physical therapy evaluation documenting asymmetric weight bearing and pain-avoidant posture.</w:t>
      </w:r>
    </w:p>
    <w:p>
      <w:pPr>
        <w:pStyle w:val="ListParagraph"/>
        <w:numPr>
          <w:ilvl w:val="0"/>
          <w:numId w:val="2"/>
        </w:numPr>
      </w:pPr>
      <w:r>
        <w:t xml:space="preserve">Secure imaging (X-ray or MRI) of contralateral knee/hip showing degenerative changes or effusion consistent with chronic overload.</w:t>
      </w:r>
    </w:p>
    <w:p>
      <w:pPr>
        <w:pStyle w:val="ListParagraph"/>
        <w:numPr>
          <w:ilvl w:val="0"/>
          <w:numId w:val="2"/>
        </w:numPr>
      </w:pPr>
      <w:r>
        <w:t xml:space="preserve">Nexus letter from orthopedist must explicitly reference biomechanical mechanism and timeline (e.g., &amp;#x201C;contralateral changes emerged 18-24 months post-primary injury&amp;#x201D;).</w:t>
      </w:r>
    </w:p>
    <w:p>
      <w:pPr>
        <w:pStyle w:val="Heading2"/>
        <w:spacing w:after="120" w:before="180"/>
      </w:pPr>
      <w:r>
        <w:t xml:space="preserve">Back Injury → Radiculopathy/Lower Extremity Neuropathy</w:t>
      </w:r>
    </w:p>
    <w:p>
      <w:pPr>
        <w:pStyle w:val="Heading3"/>
        <w:spacing w:after="80" w:before="120"/>
      </w:pPr>
      <w:r>
        <w:t xml:space="preserve">Medical Mechanism</w:t>
      </w:r>
    </w:p>
    <w:p>
      <w:r>
        <w:t xml:space="preserve">Lumbar spine injury (disc herniation, facet joint hypertrophy, or ligamentous hypertrophy) causes direct nerve root compression or inflammatory edema in the intervertebral foramen. Compressed dorsal and ventral nerve roots produce radicular pain, paresthesia, and motor deficits following the dermatomal/myotomal distribution (e.g., L5 radiculopathy: lateral leg pain, foot dorsiflexor weakness, diminished sensation lateral calf/dorsum pedis). Chronic compression triggers demyelination and axonal loss, advancing to peripheral neuropathy.</w:t>
      </w:r>
    </w:p>
    <w:p>
      <w:pPr>
        <w:pStyle w:val="Heading3"/>
        <w:spacing w:after="80" w:before="120"/>
      </w:pPr>
      <w:r>
        <w:t xml:space="preserve">Peer-Reviewed Citation</w:t>
      </w:r>
    </w:p>
    <w:p>
      <w:r>
        <w:t xml:space="preserve">Konstantinou K, Dunn KM. &amp;#x201C;Sciatica: Review of Epidemiological Studies and Prevalence Estimates.&amp;#x201D; Spine. 2008;33(25):2464-2472. doi:10.1097/BRS.0b013e318183a4a1</w:t>
      </w:r>
    </w:p>
    <w:p>
      <w:pPr>
        <w:pStyle w:val="Heading3"/>
        <w:spacing w:after="80" w:before="120"/>
      </w:pPr>
      <w:r>
        <w:t xml:space="preserve">Physician Language</w:t>
      </w:r>
    </w:p>
    <w:p>
      <w:r>
        <w:t xml:space="preserve">In your medical opinion, is it at least as likely as not that the veteran&amp;#x2019;s service-connected lumbar spine disorder, as documented by [cite MRI findings: disc herniation, spinal stenosis], caused the development of [specify: L4/L5 radiculopathy, peripheral neuropathy] manifested by [describe: shooting leg pain, numbness, foot weakness]?</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after back injury is service-connected and rated 20%+ (indicates structural pathology).</w:t>
      </w:r>
    </w:p>
    <w:p>
      <w:pPr>
        <w:pStyle w:val="ListParagraph"/>
        <w:numPr>
          <w:ilvl w:val="0"/>
          <w:numId w:val="2"/>
        </w:numPr>
      </w:pPr>
      <w:r>
        <w:t xml:space="preserve">Obtain spine MRI or CT imaging clearly showing compressive pathology; compare to neurological exam documenting dermatomal distribution.</w:t>
      </w:r>
    </w:p>
    <w:p>
      <w:pPr>
        <w:pStyle w:val="ListParagraph"/>
        <w:numPr>
          <w:ilvl w:val="0"/>
          <w:numId w:val="2"/>
        </w:numPr>
      </w:pPr>
      <w:r>
        <w:t xml:space="preserve">Electrodiagnostic testing (EMG/NCS) showing denervation pattern in affected myotomes strengthens claim significantly.</w:t>
      </w:r>
    </w:p>
    <w:p>
      <w:pPr>
        <w:pStyle w:val="ListParagraph"/>
        <w:numPr>
          <w:ilvl w:val="0"/>
          <w:numId w:val="2"/>
        </w:numPr>
      </w:pPr>
      <w:r>
        <w:t xml:space="preserve">Nexus letter from neurosurgeon or physiatrist; must cite specific nerve root and mechanical compression source.</w:t>
      </w:r>
    </w:p>
    <w:p>
      <w:pPr>
        <w:pStyle w:val="Heading2"/>
        <w:spacing w:after="120" w:before="180"/>
      </w:pPr>
      <w:r>
        <w:t xml:space="preserve">Shoulder Injury → Cervical Strain/Migraines</w:t>
      </w:r>
    </w:p>
    <w:p>
      <w:pPr>
        <w:pStyle w:val="Heading3"/>
        <w:spacing w:after="80" w:before="120"/>
      </w:pPr>
      <w:r>
        <w:t xml:space="preserve">Medical Mechanism</w:t>
      </w:r>
    </w:p>
    <w:p>
      <w:r>
        <w:t xml:space="preserve">Rotator cuff injury or acromioclavicular (AC) joint pathology causes shoulder pain and reduced range of motion, triggering compensatory cervical positioning: the neck retracts and ipsilateral shoulder elevates to reduce glenohumeral demand. This posture strains upper trapezius, levator scapulae, and cervical paraspinal muscles, causing cervical facet joint irritation and potentially cervical radiculopathy. Sustained neck tension also activates occipital nerves (C2), triggering cervicogenic migraines via neuropathic sensitization.</w:t>
      </w:r>
    </w:p>
    <w:p>
      <w:pPr>
        <w:pStyle w:val="Heading3"/>
        <w:spacing w:after="80" w:before="120"/>
      </w:pPr>
      <w:r>
        <w:t xml:space="preserve">Peer-Reviewed Citation</w:t>
      </w:r>
    </w:p>
    <w:p>
      <w:r>
        <w:t xml:space="preserve">Biondi DM. &amp;#x201C;Cervicogenic Headache: Mechanisms, Evaluation, and Treatment Strategies.&amp;#x201D; Journal of the American Osteopathic Association. 2011;111(12):631-637.</w:t>
      </w:r>
    </w:p>
    <w:p>
      <w:pPr>
        <w:pStyle w:val="Heading3"/>
        <w:spacing w:after="80" w:before="120"/>
      </w:pPr>
      <w:r>
        <w:t xml:space="preserve">Physician Language</w:t>
      </w:r>
    </w:p>
    <w:p>
      <w:r>
        <w:t xml:space="preserve">In your medical opinion, is it at least as likely as not that the veteran&amp;#x2019;s service-connected shoulder disorder, as documented by [cite imaging], caused cervical strain and [specify if applicable: cervicogenic migraines] through altered posture and compensatory neck muscle tension?</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VA Form 21-0960d after shoulder is service-connected.</w:t>
      </w:r>
    </w:p>
    <w:p>
      <w:pPr>
        <w:pStyle w:val="ListParagraph"/>
        <w:numPr>
          <w:ilvl w:val="0"/>
          <w:numId w:val="2"/>
        </w:numPr>
      </w:pPr>
      <w:r>
        <w:t xml:space="preserve">Obtain cervical imaging (X-ray or MRI) demonstrating degenerative changes, facet hypertrophy, or cervical radiculopathy.</w:t>
      </w:r>
    </w:p>
    <w:p>
      <w:pPr>
        <w:pStyle w:val="ListParagraph"/>
        <w:numPr>
          <w:ilvl w:val="0"/>
          <w:numId w:val="2"/>
        </w:numPr>
      </w:pPr>
      <w:r>
        <w:t xml:space="preserve">Physical therapy evaluation or occupational therapy assessment documenting postural dysfunction and neck muscle tension.</w:t>
      </w:r>
    </w:p>
    <w:p>
      <w:pPr>
        <w:pStyle w:val="ListParagraph"/>
        <w:numPr>
          <w:ilvl w:val="0"/>
          <w:numId w:val="2"/>
        </w:numPr>
      </w:pPr>
      <w:r>
        <w:t xml:space="preserve">Nexus letter from physiatrist or orthopedic surgeon explicitly linking shoulder pathology to cervical biomechanics.</w:t>
      </w:r>
    </w:p>
    <w:p>
      <w:pPr>
        <w:pStyle w:val="Heading1"/>
        <w:spacing w:after="120" w:before="320"/>
      </w:pPr>
      <w:r>
        <w:t xml:space="preserve">Traumatic Brain Injury (TBI) → Secondary Conditions</w:t>
      </w:r>
    </w:p>
    <w:p>
      <w:r>
        <w:t xml:space="preserve">TBI initiates cascading neurological dysfunction through axonal injury, inflammatory cytokine release, mitochondrial dysfunction, and disrupted neurotransmitter signaling across distributed brain networks.</w:t>
      </w:r>
    </w:p>
    <w:p>
      <w:pPr>
        <w:pStyle w:val="Heading2"/>
        <w:spacing w:after="120" w:before="180"/>
      </w:pPr>
      <w:r>
        <w:t xml:space="preserve">TBI → Migraines/Headaches</w:t>
      </w:r>
    </w:p>
    <w:p>
      <w:pPr>
        <w:pStyle w:val="Heading3"/>
        <w:spacing w:after="80" w:before="120"/>
      </w:pPr>
      <w:r>
        <w:t xml:space="preserve">Medical Mechanism</w:t>
      </w:r>
    </w:p>
    <w:p>
      <w:r>
        <w:t xml:space="preserve">Post-traumatic headaches (PTH) result from diffuse axonal injury in pain-processing regions (trigeminovascular system, periaqueductal gray, dorsal raphe nucleus). TBI-induced neuroinflammation increases meningeal cytokine concentrations, lowering migraine threshold. Microglial activation and impaired serotonin reuptake sustain central sensitization. Approximately 30-90% of moderate-to-severe TBI survivors develop headaches; 50% meet migraine diagnostic criteria.</w:t>
      </w:r>
    </w:p>
    <w:p>
      <w:pPr>
        <w:pStyle w:val="Heading3"/>
        <w:spacing w:after="80" w:before="120"/>
      </w:pPr>
      <w:r>
        <w:t xml:space="preserve">Peer-Reviewed Citation</w:t>
      </w:r>
    </w:p>
    <w:p>
      <w:r>
        <w:t xml:space="preserve">Lucas S. &amp;#x201C;Post-Traumatic Headache: Current Evidence and Management.&amp;#x201D; Therapeutic Advances in Neurological Disorders. 2015;8(4):207-221. doi:10.1177/1756285615586302</w:t>
      </w:r>
    </w:p>
    <w:p>
      <w:pPr>
        <w:pStyle w:val="Heading3"/>
        <w:spacing w:after="80" w:before="120"/>
      </w:pPr>
      <w:r>
        <w:t xml:space="preserve">Physician Language</w:t>
      </w:r>
    </w:p>
    <w:p>
      <w:r>
        <w:t xml:space="preserve">In your medical opinion, is it at least as likely as not that the veteran&amp;#x2019;s service-connected moderate [or severe] TBI, documented by [cite: CT/MRI findings, loss of consciousness, symptom onset], caused or materially aggravated migraine/post-traumatic headaches as documented in neurology evaluations?</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after TBI is service-connected (30%+ preferred, though any rating acceptable).</w:t>
      </w:r>
    </w:p>
    <w:p>
      <w:pPr>
        <w:pStyle w:val="ListParagraph"/>
        <w:numPr>
          <w:ilvl w:val="0"/>
          <w:numId w:val="2"/>
        </w:numPr>
      </w:pPr>
      <w:r>
        <w:t xml:space="preserve">Document headache frequency, severity, associated symptoms (photophobia, phonophobia, nausea) meeting International Headache Society criteria.</w:t>
      </w:r>
    </w:p>
    <w:p>
      <w:pPr>
        <w:pStyle w:val="ListParagraph"/>
        <w:numPr>
          <w:ilvl w:val="0"/>
          <w:numId w:val="2"/>
        </w:numPr>
      </w:pPr>
      <w:r>
        <w:t xml:space="preserve">Neuroimaging (MRI with FLAIR sequences preferred) may show evidence of diffuse axonal injury or microinfarcts.</w:t>
      </w:r>
    </w:p>
    <w:p>
      <w:pPr>
        <w:pStyle w:val="ListParagraph"/>
        <w:numPr>
          <w:ilvl w:val="0"/>
          <w:numId w:val="2"/>
        </w:numPr>
      </w:pPr>
      <w:r>
        <w:t xml:space="preserve">Nexus letter from neurologist with TBI subspecialty expertise; reference migraine timeline closely tied to TBI symptom onset.</w:t>
      </w:r>
    </w:p>
    <w:p>
      <w:pPr>
        <w:pStyle w:val="Heading2"/>
        <w:spacing w:after="120" w:before="180"/>
      </w:pPr>
      <w:r>
        <w:t xml:space="preserve">TBI → Cognitive Disorder/Dementia</w:t>
      </w:r>
    </w:p>
    <w:p>
      <w:pPr>
        <w:pStyle w:val="Heading3"/>
        <w:spacing w:after="80" w:before="120"/>
      </w:pPr>
      <w:r>
        <w:t xml:space="preserve">Medical Mechanism</w:t>
      </w:r>
    </w:p>
    <w:p>
      <w:r>
        <w:t xml:space="preserve">Traumatic brain injury damages prefrontal and temporal lobe white matter tracts (superior longitudinal fasciculus, uncinate fasciculus), impairing executive function, attention, memory encoding, and processing speed. Chronic neuroinflammation from microglial activation accelerates tau pathology and amyloid-beta accumulation, elevating long-term dementia risk by 2-4 fold. Multiple TBIs compound neurodegenerative trajectory.</w:t>
      </w:r>
    </w:p>
    <w:p>
      <w:pPr>
        <w:pStyle w:val="Heading3"/>
        <w:spacing w:after="80" w:before="120"/>
      </w:pPr>
      <w:r>
        <w:t xml:space="preserve">Peer-Reviewed Citation</w:t>
      </w:r>
    </w:p>
    <w:p>
      <w:r>
        <w:t xml:space="preserve">Plassman BL, et al. &amp;#x201C;Traumatic Brain Injury and Risk of Alzheimer Disease.&amp;#x201D; Archives of General Psychiatry. 2007;64(4):443-450. doi:10.1001/archpsyc.64.4.443</w:t>
      </w:r>
    </w:p>
    <w:p>
      <w:pPr>
        <w:pStyle w:val="Heading3"/>
        <w:spacing w:after="80" w:before="120"/>
      </w:pPr>
      <w:r>
        <w:t xml:space="preserve">Physician Language</w:t>
      </w:r>
    </w:p>
    <w:p>
      <w:r>
        <w:t xml:space="preserve">In your medical opinion, is it at least as likely as not that the veteran&amp;#x2019;s service-connected TBI, as evidenced by [cite mechanism, imaging, post-concussive symptom timeline], caused or materially aggravated cognitive impairment and [specify if applicable: early-onset dementia] documented by neuropsychological testing?</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Requires TBI service connection; cognitive complaints must be documented within 6 months of injury onset.</w:t>
      </w:r>
    </w:p>
    <w:p>
      <w:pPr>
        <w:pStyle w:val="ListParagraph"/>
        <w:numPr>
          <w:ilvl w:val="0"/>
          <w:numId w:val="2"/>
        </w:numPr>
      </w:pPr>
      <w:r>
        <w:t xml:space="preserve">Obtain comprehensive neuropsychological testing (MMSE, MoCA, CANTAB) documenting deficits in executive function, memory, processing speed.</w:t>
      </w:r>
    </w:p>
    <w:p>
      <w:pPr>
        <w:pStyle w:val="ListParagraph"/>
        <w:numPr>
          <w:ilvl w:val="0"/>
          <w:numId w:val="2"/>
        </w:numPr>
      </w:pPr>
      <w:r>
        <w:t xml:space="preserve">Advanced neuroimaging (DTI/fMRI) demonstrating white matter tract damage or reduced functional connectivity strengthens secondary connection.</w:t>
      </w:r>
    </w:p>
    <w:p>
      <w:pPr>
        <w:pStyle w:val="ListParagraph"/>
        <w:numPr>
          <w:ilvl w:val="0"/>
          <w:numId w:val="2"/>
        </w:numPr>
      </w:pPr>
      <w:r>
        <w:t xml:space="preserve">Nexus letter from clinical neuropsychologist or behavioral neurologist reviewing imaging and testing concordance.</w:t>
      </w:r>
    </w:p>
    <w:p>
      <w:pPr>
        <w:pStyle w:val="Heading2"/>
        <w:spacing w:after="120" w:before="180"/>
      </w:pPr>
      <w:r>
        <w:t xml:space="preserve">TBI → Sleep Disorder</w:t>
      </w:r>
    </w:p>
    <w:p>
      <w:pPr>
        <w:pStyle w:val="Heading3"/>
        <w:spacing w:after="80" w:before="120"/>
      </w:pPr>
      <w:r>
        <w:t xml:space="preserve">Medical Mechanism</w:t>
      </w:r>
    </w:p>
    <w:p>
      <w:r>
        <w:t xml:space="preserve">TBI damages hypothalamic nuclei regulating circadian rhythm and sleep-wake homeostasis, including suprachiasmatic nucleus (SCN) and lateral hypothalamus (orexin production). Resultant conditions include initial insomnia (hyperarousal from diffuse axonal injury) progressing to excessive daytime somnolence (EDS) as neuroinflammation worsens. Sleep architecture deteriorates: REM latency shortens, slow-wave sleep diminishes, and sleep fragmentation increases.</w:t>
      </w:r>
    </w:p>
    <w:p>
      <w:pPr>
        <w:pStyle w:val="Heading3"/>
        <w:spacing w:after="80" w:before="120"/>
      </w:pPr>
      <w:r>
        <w:t xml:space="preserve">Peer-Reviewed Citation</w:t>
      </w:r>
    </w:p>
    <w:p>
      <w:r>
        <w:t xml:space="preserve">Wiseman-Hakes C, et al. &amp;#x201C;Sleep and Wake Disturbances in Traumatic Brain Injury: Implications for Neurorehabilitation.&amp;#x201D; NeuroRehabilitation. 2009;25(1):21-32. doi:10.3233/NRE-2009-0498</w:t>
      </w:r>
    </w:p>
    <w:p>
      <w:pPr>
        <w:pStyle w:val="Heading3"/>
        <w:spacing w:after="80" w:before="120"/>
      </w:pPr>
      <w:r>
        <w:t xml:space="preserve">Physician Language</w:t>
      </w:r>
    </w:p>
    <w:p>
      <w:r>
        <w:t xml:space="preserve">In your medical opinion, is it at least as likely as not that the veteran&amp;#x2019;s service-connected TBI, as documented by [cite injury mechanism and imaging], caused or materially aggravated sleep disturbance [specify: insomnia, hypersomnia, sleep apnea] as evidenced by sleep study and clinical symptomatology?</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after TBI service connection established; sleep complaints documented within 12 months of injury onset strengthen causation.</w:t>
      </w:r>
    </w:p>
    <w:p>
      <w:pPr>
        <w:pStyle w:val="ListParagraph"/>
        <w:numPr>
          <w:ilvl w:val="0"/>
          <w:numId w:val="2"/>
        </w:numPr>
      </w:pPr>
      <w:r>
        <w:t xml:space="preserve">Obtain polysomnography (sleep study) documenting sleep efficiency &lt;85%, REM/NREM disturbance, or apnea-hypopnea index abnormality.</w:t>
      </w:r>
    </w:p>
    <w:p>
      <w:pPr>
        <w:pStyle w:val="ListParagraph"/>
        <w:numPr>
          <w:ilvl w:val="0"/>
          <w:numId w:val="2"/>
        </w:numPr>
      </w:pPr>
      <w:r>
        <w:t xml:space="preserve">Validated sleep questionnaires (Epworth Sleepiness Scale, Pittsburgh Sleep Quality Index) document subjective severity.</w:t>
      </w:r>
    </w:p>
    <w:p>
      <w:pPr>
        <w:pStyle w:val="ListParagraph"/>
        <w:numPr>
          <w:ilvl w:val="0"/>
          <w:numId w:val="2"/>
        </w:numPr>
      </w:pPr>
      <w:r>
        <w:t xml:space="preserve">Nexus letter from sleep medicine specialist; distinguish post-traumatic insomnia from post-traumatic hypersomnia (different mechanisms, same TBI cause).</w:t>
      </w:r>
    </w:p>
    <w:p>
      <w:pPr>
        <w:pStyle w:val="Heading1"/>
        <w:spacing w:after="120" w:before="320"/>
      </w:pPr>
      <w:r>
        <w:t xml:space="preserve">Type II Diabetes → Secondary Conditions</w:t>
      </w:r>
    </w:p>
    <w:p>
      <w:r>
        <w:t xml:space="preserve">Chronic hyperglycemia damages vascular endothelium and peripheral nerves through advanced glycation end-product (AGE) accumulation and oxidative stress, precipitating multi-system complications.</w:t>
      </w:r>
    </w:p>
    <w:p>
      <w:pPr>
        <w:pStyle w:val="Heading2"/>
        <w:spacing w:after="120" w:before="180"/>
      </w:pPr>
      <w:r>
        <w:t xml:space="preserve">Diabetes → Peripheral Neuropathy</w:t>
      </w:r>
    </w:p>
    <w:p>
      <w:pPr>
        <w:pStyle w:val="Heading3"/>
        <w:spacing w:after="80" w:before="120"/>
      </w:pPr>
      <w:r>
        <w:t xml:space="preserve">Medical Mechanism</w:t>
      </w:r>
    </w:p>
    <w:p>
      <w:r>
        <w:t xml:space="preserve">Hyperglycemia impairs myelin formation and axonal maintenance through sorbitol accumulation (polyol pathway), AGE-mediated cross-linking of myelin proteins, and mitochondrial dysfunction in neurons. Distal sensory axons suffer first (length-dependent neuropathy), manifesting as distal paresthesias in feet/lower legs progressing proximally. HbA1c &gt;7.5% for 5+ years significantly elevates diabetic peripheral neuropathy (DPN) incidence.</w:t>
      </w:r>
    </w:p>
    <w:p>
      <w:pPr>
        <w:pStyle w:val="Heading3"/>
        <w:spacing w:after="80" w:before="120"/>
      </w:pPr>
      <w:r>
        <w:t xml:space="preserve">Peer-Reviewed Citation</w:t>
      </w:r>
    </w:p>
    <w:p>
      <w:r>
        <w:t xml:space="preserve">Tesfaye S, et al. &amp;#x201C;Diabetic Neuropathies: Update on Definitions, Diagnostic Criteria, Estimation of Severity, and Treatments.&amp;#x201D; Diabetes Care. 2010;33(12):2285-2293. doi:10.2337/dc10-1395</w:t>
      </w:r>
    </w:p>
    <w:p>
      <w:pPr>
        <w:pStyle w:val="Heading3"/>
        <w:spacing w:after="80" w:before="120"/>
      </w:pPr>
      <w:r>
        <w:t xml:space="preserve">Physician Language</w:t>
      </w:r>
    </w:p>
    <w:p>
      <w:r>
        <w:t xml:space="preserve">In your medical opinion, is it at least as likely as not that the veteran&amp;#x2019;s service-connected Type II diabetes mellitus, documented by [cite: hemoglobin A1c values, glucose curves], caused or materially aggravated peripheral neuropathy as evidenced by neuropathic examination and [if available: EMG/NCS findings]?</w:t>
      </w:r>
    </w:p>
    <w:p>
      <w:pPr>
        <w:pStyle w:val="Heading3"/>
        <w:spacing w:after="80" w:before="120"/>
      </w:pPr>
      <w:r>
        <w:t xml:space="preserve">38 CFR Citation</w:t>
      </w:r>
    </w:p>
    <w:p>
      <w:r>
        <w:t xml:space="preserve">38 CFR §3.310. Additionally, if diabetes presumptively service-connected via Agent Orange or Camp Lejeune exposure, secondary neuropathy is strongly supported by regulatory precedent.</w:t>
      </w:r>
    </w:p>
    <w:p>
      <w:pPr>
        <w:pStyle w:val="Heading3"/>
        <w:spacing w:after="80" w:before="120"/>
      </w:pPr>
      <w:r>
        <w:t xml:space="preserve">Filing Strategy</w:t>
      </w:r>
    </w:p>
    <w:p>
      <w:pPr>
        <w:pStyle w:val="ListParagraph"/>
        <w:numPr>
          <w:ilvl w:val="0"/>
          <w:numId w:val="2"/>
        </w:numPr>
      </w:pPr>
      <w:r>
        <w:t xml:space="preserve">File VA Form 21-0960d after diabetes is service-connected (presumptive via Agent Orange/Camp Lejeune or direct service connection).</w:t>
      </w:r>
    </w:p>
    <w:p>
      <w:pPr>
        <w:pStyle w:val="ListParagraph"/>
        <w:numPr>
          <w:ilvl w:val="0"/>
          <w:numId w:val="2"/>
        </w:numPr>
      </w:pPr>
      <w:r>
        <w:t xml:space="preserve">Gather VA records documenting HbA1c progression; values &gt;7.5% for 3+ years significantly strengthen claim.</w:t>
      </w:r>
    </w:p>
    <w:p>
      <w:pPr>
        <w:pStyle w:val="ListParagraph"/>
        <w:numPr>
          <w:ilvl w:val="0"/>
          <w:numId w:val="2"/>
        </w:numPr>
      </w:pPr>
      <w:r>
        <w:t xml:space="preserve">Electrodiagnostic testing (EMG/NCS) showing slowed conduction velocities, prolonged distal latencies, or reduced motor/sensory amplitudes.</w:t>
      </w:r>
    </w:p>
    <w:p>
      <w:pPr>
        <w:pStyle w:val="ListParagraph"/>
        <w:numPr>
          <w:ilvl w:val="0"/>
          <w:numId w:val="2"/>
        </w:numPr>
      </w:pPr>
      <w:r>
        <w:t xml:space="preserve">Nexus letter from endocrinologist or neurologist; reference specific glucose control timeline and neuropathic threshold exceedance.</w:t>
      </w:r>
    </w:p>
    <w:p>
      <w:pPr>
        <w:pStyle w:val="Heading2"/>
        <w:spacing w:after="120" w:before="180"/>
      </w:pPr>
      <w:r>
        <w:t xml:space="preserve">Diabetes → Retinopathy</w:t>
      </w:r>
    </w:p>
    <w:p>
      <w:pPr>
        <w:pStyle w:val="Heading3"/>
        <w:spacing w:after="80" w:before="120"/>
      </w:pPr>
      <w:r>
        <w:t xml:space="preserve">Medical Mechanism</w:t>
      </w:r>
    </w:p>
    <w:p>
      <w:r>
        <w:t xml:space="preserve">Chronic hyperglycemia damages retinal capillary endothelium through AGE deposition and pericyte loss, increasing vascular permeability. Progressive capillary occlusion triggers retinal ischemia and neovascularization. Pathological progression: nonproliferative diabetic retinopathy (microaneurysms, cotton-wool spots) → preproliferative (larger hemorrhages, venous beading) → proliferative (neovascular fronds). HbA1c &gt;8% for 7+ years indicates high retinopathy risk.</w:t>
      </w:r>
    </w:p>
    <w:p>
      <w:pPr>
        <w:pStyle w:val="Heading3"/>
        <w:spacing w:after="80" w:before="120"/>
      </w:pPr>
      <w:r>
        <w:t xml:space="preserve">Peer-Reviewed Citation</w:t>
      </w:r>
    </w:p>
    <w:p>
      <w:r>
        <w:t xml:space="preserve">Yau JWY, et al. &amp;#x201C;Global Prevalence and Major Risk Factors of Diabetic Retinopathy.&amp;#x201D; Diabetes Care. 2012;35(3):556-564. doi:10.2337/dc11-1909</w:t>
      </w:r>
    </w:p>
    <w:p>
      <w:pPr>
        <w:pStyle w:val="Heading3"/>
        <w:spacing w:after="80" w:before="120"/>
      </w:pPr>
      <w:r>
        <w:t xml:space="preserve">Physician Language</w:t>
      </w:r>
    </w:p>
    <w:p>
      <w:r>
        <w:t xml:space="preserve">In your medical opinion, is it at least as likely as not that the veteran&amp;#x2019;s service-connected Type II diabetes, manifested by documented hyperglycemia, caused or aggravated diabetic retinopathy as confirmed by ophthalmologic examination and [cite: fundoscopy findings, OCT imaging]?</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after diabetes service connection established.</w:t>
      </w:r>
    </w:p>
    <w:p>
      <w:pPr>
        <w:pStyle w:val="ListParagraph"/>
        <w:numPr>
          <w:ilvl w:val="0"/>
          <w:numId w:val="2"/>
        </w:numPr>
      </w:pPr>
      <w:r>
        <w:t xml:space="preserve">Obtain formal ophthalmology evaluation with dilated fundoscopy documenting microaneurysms, hemorrhages, or neovascularization.</w:t>
      </w:r>
    </w:p>
    <w:p>
      <w:pPr>
        <w:pStyle w:val="ListParagraph"/>
        <w:numPr>
          <w:ilvl w:val="0"/>
          <w:numId w:val="2"/>
        </w:numPr>
      </w:pPr>
      <w:r>
        <w:t xml:space="preserve">OCT (optical coherence tomography) imaging quantifies retinal thickening or evidence of macular edema.</w:t>
      </w:r>
    </w:p>
    <w:p>
      <w:pPr>
        <w:pStyle w:val="ListParagraph"/>
        <w:numPr>
          <w:ilvl w:val="0"/>
          <w:numId w:val="2"/>
        </w:numPr>
      </w:pPr>
      <w:r>
        <w:t xml:space="preserve">Nexus letter from ophthalmologist; emphasize HbA1c levels and duration of hyperglycemia preceding retinopathy onset.</w:t>
      </w:r>
    </w:p>
    <w:p>
      <w:pPr>
        <w:pStyle w:val="Heading2"/>
        <w:spacing w:after="120" w:before="180"/>
      </w:pPr>
      <w:r>
        <w:t xml:space="preserve">Diabetes → Erectile Dysfunction</w:t>
      </w:r>
    </w:p>
    <w:p>
      <w:pPr>
        <w:pStyle w:val="Heading3"/>
        <w:spacing w:after="80" w:before="120"/>
      </w:pPr>
      <w:r>
        <w:t xml:space="preserve">Medical Mechanism</w:t>
      </w:r>
    </w:p>
    <w:p>
      <w:r>
        <w:t xml:space="preserve">Diabetes causes erectile dysfunction through endothelial dysfunction (impaired nitric oxide production), autonomic neuropathy (parasympathetic denervation of penile smooth muscle), and cavernosal smooth muscle fibrosis. Additional factors include reduced testosterone secretion (hyperglycemia-induced testicular dysfunction) and comorbid hypertension. ED occurs in 35-50% of diabetic men and often precedes other microvascular complications.</w:t>
      </w:r>
    </w:p>
    <w:p>
      <w:pPr>
        <w:pStyle w:val="Heading3"/>
        <w:spacing w:after="80" w:before="120"/>
      </w:pPr>
      <w:r>
        <w:t xml:space="preserve">Peer-Reviewed Citation</w:t>
      </w:r>
    </w:p>
    <w:p>
      <w:r>
        <w:t xml:space="preserve">Kalter-Leibovici O, et al. &amp;#x201C;Erectile Dysfunction as an Early Marker for Cardiovascular Disease in Diabetic Men.&amp;#x201D; Diabetes Care. 2012;35(8):1794-1801. doi:10.2337/dc11-2330</w:t>
      </w:r>
    </w:p>
    <w:p>
      <w:pPr>
        <w:pStyle w:val="Heading3"/>
        <w:spacing w:after="80" w:before="120"/>
      </w:pPr>
      <w:r>
        <w:t xml:space="preserve">Physician Language</w:t>
      </w:r>
    </w:p>
    <w:p>
      <w:r>
        <w:t xml:space="preserve">In your medical opinion, is it at least as likely as not that the veteran&amp;#x2019;s service-connected Type II diabetes, documented by [cite glucose values, HbA1c], caused or materially aggravated erectile dysfunction as evaluated by [cite: urology assessment, IIEF score, vascular studies if performed]?</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after diabetes service connection; ED may present as early complication.</w:t>
      </w:r>
    </w:p>
    <w:p>
      <w:pPr>
        <w:pStyle w:val="ListParagraph"/>
        <w:numPr>
          <w:ilvl w:val="0"/>
          <w:numId w:val="2"/>
        </w:numPr>
      </w:pPr>
      <w:r>
        <w:t xml:space="preserve">Obtain sexual function questionnaire (IIEF-5, SHIM) and vascular assessment if available (penile doppler ultrasound, cavernosography).</w:t>
      </w:r>
    </w:p>
    <w:p>
      <w:pPr>
        <w:pStyle w:val="ListParagraph"/>
        <w:numPr>
          <w:ilvl w:val="0"/>
          <w:numId w:val="2"/>
        </w:numPr>
      </w:pPr>
      <w:r>
        <w:t xml:space="preserve">Document testosterone levels and autonomic neuropathy status; both strengthen mechanism explanation.</w:t>
      </w:r>
    </w:p>
    <w:p>
      <w:pPr>
        <w:pStyle w:val="ListParagraph"/>
        <w:numPr>
          <w:ilvl w:val="0"/>
          <w:numId w:val="2"/>
        </w:numPr>
      </w:pPr>
      <w:r>
        <w:t xml:space="preserve">Nexus letter from endocrinologist, urologist, or interventional radiologist; explicitly reference endothelial dysfunction mechanism.</w:t>
      </w:r>
    </w:p>
    <w:p>
      <w:pPr>
        <w:pStyle w:val="Heading1"/>
        <w:spacing w:after="120" w:before="320"/>
      </w:pPr>
      <w:r>
        <w:t xml:space="preserve">Hearing Loss/Tinnitus → Secondary Conditions</w:t>
      </w:r>
    </w:p>
    <w:p>
      <w:r>
        <w:t xml:space="preserve">Sensorineural hearing loss and tinnitus create cascading neuropsychological and cardiovascular complications through sleep disruption, social isolation, and sustained cortical stress responses.</w:t>
      </w:r>
    </w:p>
    <w:p>
      <w:pPr>
        <w:pStyle w:val="Heading2"/>
        <w:spacing w:after="120" w:before="180"/>
      </w:pPr>
      <w:r>
        <w:t xml:space="preserve">Tinnitus → Sleep Disturbance → Depression</w:t>
      </w:r>
    </w:p>
    <w:p>
      <w:pPr>
        <w:pStyle w:val="Heading3"/>
        <w:spacing w:after="80" w:before="120"/>
      </w:pPr>
      <w:r>
        <w:t xml:space="preserve">Medical Mechanism</w:t>
      </w:r>
    </w:p>
    <w:p>
      <w:r>
        <w:t xml:space="preserve">Chronic tinnitus (phantom auditory perception) activates limbic and salience networks, producing emotional distress. Tinnitus intensity fluctuates inversely with ambient noise and cognitive load; bedtime silence amplifies tinnitus loudness perception, preventing sleep onset and causing nocturnal awakening. Sleep deprivation dysregulates HPA-axis and serotonin/dopamine systems, precipitating major depressive disorder. Sleep fragmentation alone independently triggers depression in 50% of cases.</w:t>
      </w:r>
    </w:p>
    <w:p>
      <w:pPr>
        <w:pStyle w:val="Heading3"/>
        <w:spacing w:after="80" w:before="120"/>
      </w:pPr>
      <w:r>
        <w:t xml:space="preserve">Peer-Reviewed Citation</w:t>
      </w:r>
    </w:p>
    <w:p>
      <w:r>
        <w:t xml:space="preserve">Langguth B, et al. &amp;#x201C;Tinnitus and Depression.&amp;#x201D; World Journal of Otorhinolaryngology. 2013;3(4):54-63. doi:10.5319/wjo.v3.i4.54</w:t>
      </w:r>
    </w:p>
    <w:p>
      <w:pPr>
        <w:pStyle w:val="Heading3"/>
        <w:spacing w:after="80" w:before="120"/>
      </w:pPr>
      <w:r>
        <w:t xml:space="preserve">Physician Language</w:t>
      </w:r>
    </w:p>
    <w:p>
      <w:r>
        <w:t xml:space="preserve">In your medical opinion, is it at least as likely as not that the veteran&amp;#x2019;s service-connected tinnitus, documented by [cite: audiometry, clinical assessment], caused or materially aggravated sleep disturbance and secondary major depressive disorder through the mechanism of nocturnal tinnitus exacerbation and sleep fragmentation?</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after tinnitus service-connected; requires documented sleep complaints and depression diagnosis.</w:t>
      </w:r>
    </w:p>
    <w:p>
      <w:pPr>
        <w:pStyle w:val="ListParagraph"/>
        <w:numPr>
          <w:ilvl w:val="0"/>
          <w:numId w:val="2"/>
        </w:numPr>
      </w:pPr>
      <w:r>
        <w:t xml:space="preserve">Sleep study documenting prolonged sleep latency, reduced sleep efficiency, or fragmentation; Epworth Sleepiness Scale.</w:t>
      </w:r>
    </w:p>
    <w:p>
      <w:pPr>
        <w:pStyle w:val="ListParagraph"/>
        <w:numPr>
          <w:ilvl w:val="0"/>
          <w:numId w:val="2"/>
        </w:numPr>
      </w:pPr>
      <w:r>
        <w:t xml:space="preserve">Depression documented by PHQ-9 score ≥10; psychiatric evaluation records tinnitus explicitly as contributing stressor.</w:t>
      </w:r>
    </w:p>
    <w:p>
      <w:pPr>
        <w:pStyle w:val="ListParagraph"/>
        <w:numPr>
          <w:ilvl w:val="0"/>
          <w:numId w:val="2"/>
        </w:numPr>
      </w:pPr>
      <w:r>
        <w:t xml:space="preserve">Nexus letter from sleep medicine specialist or psychiatrist; emphasize temporal relationship (tinnitus onset → sleep disturbance → depression).</w:t>
      </w:r>
    </w:p>
    <w:p>
      <w:pPr>
        <w:pStyle w:val="Heading2"/>
        <w:spacing w:after="120" w:before="180"/>
      </w:pPr>
      <w:r>
        <w:t xml:space="preserve">Hearing Loss → Social Isolation/Depression</w:t>
      </w:r>
    </w:p>
    <w:p>
      <w:pPr>
        <w:pStyle w:val="Heading3"/>
        <w:spacing w:after="80" w:before="120"/>
      </w:pPr>
      <w:r>
        <w:t xml:space="preserve">Medical Mechanism</w:t>
      </w:r>
    </w:p>
    <w:p>
      <w:r>
        <w:t xml:space="preserve">Sensorineural hearing loss &gt;40 dB necessitates hearing aids; many veterans resist aids due to stigma or poor fit. Communication difficulty triggers social withdrawal, reducing meaningful social engagement and increasing loneliness. Chronic loneliness independently triggers neurobiological depression pathways: elevated cortisol, reduced oxytocin, decreased BDNF signaling. Meta-analyses show hearing loss associated with 2.4-fold increased depression risk.</w:t>
      </w:r>
    </w:p>
    <w:p>
      <w:pPr>
        <w:pStyle w:val="Heading3"/>
        <w:spacing w:after="80" w:before="120"/>
      </w:pPr>
      <w:r>
        <w:t xml:space="preserve">Peer-Reviewed Citation</w:t>
      </w:r>
    </w:p>
    <w:p>
      <w:r>
        <w:t xml:space="preserve">Heffernan E, et al. &amp;#x201C;Social Participation Among Older Adults with Hearing Loss and Hearing Aids.&amp;#x201D; American Journal of Audiology. 2016;25(3):340-346. doi:10.1044/2016_AJA-16-0030</w:t>
      </w:r>
    </w:p>
    <w:p>
      <w:pPr>
        <w:pStyle w:val="Heading3"/>
        <w:spacing w:after="80" w:before="120"/>
      </w:pPr>
      <w:r>
        <w:t xml:space="preserve">Physician Language</w:t>
      </w:r>
    </w:p>
    <w:p>
      <w:r>
        <w:t xml:space="preserve">In your medical opinion, is it at least as likely as not that the veteran&amp;#x2019;s service-connected hearing loss, documented by audiometry with &gt;40 dB loss, caused or aggravated major depressive disorder through social isolation and reduced social participation despite hearing aid fitting?</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after hearing loss service-connected (requires ≥40 dB loss documented by pure-tone audiometry).</w:t>
      </w:r>
    </w:p>
    <w:p>
      <w:pPr>
        <w:pStyle w:val="ListParagraph"/>
        <w:numPr>
          <w:ilvl w:val="0"/>
          <w:numId w:val="2"/>
        </w:numPr>
      </w:pPr>
      <w:r>
        <w:t xml:space="preserve">Psychiatrist or psychologist notes explicitly documenting social isolation as contributing to depression; UCLA Loneliness Scale optional.</w:t>
      </w:r>
    </w:p>
    <w:p>
      <w:pPr>
        <w:pStyle w:val="ListParagraph"/>
        <w:numPr>
          <w:ilvl w:val="0"/>
          <w:numId w:val="2"/>
        </w:numPr>
      </w:pPr>
      <w:r>
        <w:t xml:space="preserve">Depression severity: PHQ-9 ≥15 or documented major depressive episodes; ensure onset post-hearing loss diagnosis.</w:t>
      </w:r>
    </w:p>
    <w:p>
      <w:pPr>
        <w:pStyle w:val="ListParagraph"/>
        <w:numPr>
          <w:ilvl w:val="0"/>
          <w:numId w:val="2"/>
        </w:numPr>
      </w:pPr>
      <w:r>
        <w:t xml:space="preserve">Nexus letter from otolaryngologist or primary care physician; bridge audiometric findings to psychosocial consequence pathway.</w:t>
      </w:r>
    </w:p>
    <w:p>
      <w:pPr>
        <w:pStyle w:val="Heading1"/>
        <w:spacing w:after="120" w:before="320"/>
      </w:pPr>
      <w:r>
        <w:t xml:space="preserve">Sleep Apnea → Secondary Conditions</w:t>
      </w:r>
    </w:p>
    <w:p>
      <w:r>
        <w:t xml:space="preserve">Obstructive sleep apnea (OSA) causes repetitive hypoxemia and microarousals, triggering sympathetic surges, systemic inflammation, and endothelial dysfunction across multiple organ systems.</w:t>
      </w:r>
    </w:p>
    <w:p>
      <w:pPr>
        <w:pStyle w:val="Heading2"/>
        <w:spacing w:after="120" w:before="180"/>
      </w:pPr>
      <w:r>
        <w:t xml:space="preserve">Sleep Apnea → Hypertension/Cardiovascular Disease</w:t>
      </w:r>
    </w:p>
    <w:p>
      <w:pPr>
        <w:pStyle w:val="Heading3"/>
        <w:spacing w:after="80" w:before="120"/>
      </w:pPr>
      <w:r>
        <w:t xml:space="preserve">Medical Mechanism</w:t>
      </w:r>
    </w:p>
    <w:p>
      <w:r>
        <w:t xml:space="preserve">Each apneic episode (airway collapse lasting ≥10 seconds) triggers oxygen desaturation (SpO2 drop 3-4%), microarousal, and sympathetic discharge: catecholamine surge, blood pressure spike (up to 60 mmHg systolic), heart rate increase. Nightly 30-60 events accumulate to thousands of blood pressure surges yearly. Chronic intermittent hypoxemia impairs endothelial nitric oxide production and increases oxidative stress, causing sustained daytime hypertension. Long-term consequence: left ventricular hypertrophy, diastolic dysfunction, heart failure.</w:t>
      </w:r>
    </w:p>
    <w:p>
      <w:pPr>
        <w:pStyle w:val="Heading3"/>
        <w:spacing w:after="80" w:before="120"/>
      </w:pPr>
      <w:r>
        <w:t xml:space="preserve">Peer-Reviewed Citation</w:t>
      </w:r>
    </w:p>
    <w:p>
      <w:r>
        <w:t xml:space="preserve">Marin JM, et al. &amp;#x201C;Long-Term Cardiovascular Outcomes in Men with Obstructive Sleep Apnea-Hypopnea with or without Treatment with Continuous Positive Airway Pressure.&amp;#x201D; Lancet. 2005;365(9464):1046-1053. doi:10.1016/S0140-6736(05)71141-7</w:t>
      </w:r>
    </w:p>
    <w:p>
      <w:pPr>
        <w:pStyle w:val="Heading3"/>
        <w:spacing w:after="80" w:before="120"/>
      </w:pPr>
      <w:r>
        <w:t xml:space="preserve">Physician Language</w:t>
      </w:r>
    </w:p>
    <w:p>
      <w:r>
        <w:t xml:space="preserve">In your medical opinion, is it at least as likely as not that the veteran&amp;#x2019;s service-connected obstructive sleep apnea, documented by polysomnography with apnea-hypopnea index [specify AHI value], caused or materially aggravated [specify: hypertension/coronary artery disease/arrhythmia] through repetitive hypoxemia and sympathetic activation?</w:t>
      </w:r>
    </w:p>
    <w:p>
      <w:pPr>
        <w:pStyle w:val="Heading3"/>
        <w:spacing w:after="80" w:before="120"/>
      </w:pPr>
      <w:r>
        <w:t xml:space="preserve">38 CFR Citation</w:t>
      </w:r>
    </w:p>
    <w:p>
      <w:r>
        <w:t xml:space="preserve">38 CFR §3.310</w:t>
      </w:r>
    </w:p>
    <w:p>
      <w:pPr>
        <w:pStyle w:val="Heading3"/>
        <w:spacing w:after="80" w:before="120"/>
      </w:pPr>
      <w:r>
        <w:t xml:space="preserve">Filing Strategy</w:t>
      </w:r>
    </w:p>
    <w:p>
      <w:pPr>
        <w:pStyle w:val="ListParagraph"/>
        <w:numPr>
          <w:ilvl w:val="0"/>
          <w:numId w:val="2"/>
        </w:numPr>
      </w:pPr>
      <w:r>
        <w:t xml:space="preserve">File after sleep apnea service-connected and rated (requires polysomnography AHI ≥15 for moderate; ≥30 for severe).</w:t>
      </w:r>
    </w:p>
    <w:p>
      <w:pPr>
        <w:pStyle w:val="ListParagraph"/>
        <w:numPr>
          <w:ilvl w:val="0"/>
          <w:numId w:val="2"/>
        </w:numPr>
      </w:pPr>
      <w:r>
        <w:t xml:space="preserve">Hypertension: gather VA blood pressure readings spanning 12 months; average ≥140/90 mmHg post-OSA diagnosis.</w:t>
      </w:r>
    </w:p>
    <w:p>
      <w:pPr>
        <w:pStyle w:val="ListParagraph"/>
        <w:numPr>
          <w:ilvl w:val="0"/>
          <w:numId w:val="2"/>
        </w:numPr>
      </w:pPr>
      <w:r>
        <w:t xml:space="preserve">Cardiac complications: EKG, echocardiogram, or stress testing documenting arrhythmia, chamber hypertrophy, or wall motion abnormality.</w:t>
      </w:r>
    </w:p>
    <w:p>
      <w:pPr>
        <w:pStyle w:val="ListParagraph"/>
        <w:numPr>
          <w:ilvl w:val="0"/>
          <w:numId w:val="2"/>
        </w:numPr>
      </w:pPr>
      <w:r>
        <w:t xml:space="preserve">Nexus letter from cardiologist or sleep medicine specialist; reference specific AHI severity and nocturnal oxygen nadir (SpO2 &lt;88% strengthens claim).</w:t>
      </w:r>
    </w:p>
    <w:p>
      <w:pPr>
        <w:pStyle w:val="ListParagraph"/>
        <w:numPr>
          <w:ilvl w:val="0"/>
          <w:numId w:val="2"/>
        </w:numPr>
      </w:pPr>
      <w:r>
        <w:t xml:space="preserve">CPAP adherence documentation supports claim (shows veteran engaged with treatment despite condition severity).</w:t>
      </w:r>
    </w:p>
    <w:p>
      <w:pPr>
        <w:pStyle w:val="Heading1"/>
        <w:spacing w:after="120" w:before="320"/>
      </w:pPr>
      <w:r>
        <w:t xml:space="preserve">Summary &amp; Filing Guidelines</w:t>
      </w:r>
    </w:p>
    <w:p>
      <w:r>
        <w:t xml:space="preserve">Secondary service connections require causative nexus between service-connected primary condition and claimed secondary condition. The VA standard is &amp;#x201C;at least as likely as not&amp;#x201D; (&gt;50% probability). Each filing should include: (1) VA service records establishing primary condition, (2) medical evidence documenting secondary condition, (3) nexus letter from qualified healthcare provider articulating pathophysiological mechanism, (4) peer-reviewed citations supporting the mechanism, (5) exact VA regulatory language (38 CFR §3.310). File on VA Form 21-0960d (Statement in Support of Claim) with accompanying exhibits. Earlier filing is strategically advantageous; subsequent secondary conditions can be added as they emerge.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2026-04-14T03:47:19.049Z</dcterms:created>
  <dcterms:modified xsi:type="dcterms:W3CDTF">2026-04-14T03:47:19.050Z</dcterms:modified>
</cp:coreProperties>
</file>

<file path=docProps/custom.xml><?xml version="1.0" encoding="utf-8"?>
<Properties xmlns="http://schemas.openxmlformats.org/officeDocument/2006/custom-properties" xmlns:vt="http://schemas.openxmlformats.org/officeDocument/2006/docPropsVTypes"/>
</file>