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44"/>
        </w:rPr>
        <w:t>VA Secondary Claims Diagnostic Code Reference Cards</w:t>
      </w:r>
    </w:p>
    <w:p>
      <w:pPr>
        <w:jc w:val="center"/>
      </w:pPr>
      <w:r>
        <w:rPr>
          <w:i/>
          <w:color w:val="E94560"/>
          <w:sz w:val="22"/>
        </w:rPr>
        <w:t>Quick Reference for Commonly Filed Secondary Conditions</w:t>
      </w:r>
    </w:p>
    <w:p/>
    <w:p>
      <w:pPr>
        <w:pStyle w:val="Heading2"/>
      </w:pPr>
      <w:r>
        <w:rPr>
          <w:color w:val="1A1A2E"/>
        </w:rPr>
        <w:t>DC 7346: GERD / Hiatal Hernia</w:t>
      </w:r>
    </w:p>
    <w:p>
      <w:pPr>
        <w:pStyle w:val="Heading3"/>
      </w:pPr>
      <w:r>
        <w:t>VA Rating Criteria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Rating</w:t>
            </w:r>
          </w:p>
        </w:tc>
        <w:tc>
          <w:tcPr>
            <w:tcW w:type="dxa" w:w="4320"/>
          </w:tcPr>
          <w:p>
            <w:r>
              <w:t>Criteria</w:t>
            </w:r>
          </w:p>
        </w:tc>
      </w:tr>
      <w:tr>
        <w:tc>
          <w:tcPr>
            <w:tcW w:type="dxa" w:w="4320"/>
          </w:tcPr>
          <w:p>
            <w:r>
              <w:t>0%</w:t>
            </w:r>
          </w:p>
        </w:tc>
        <w:tc>
          <w:tcPr>
            <w:tcW w:type="dxa" w:w="4320"/>
          </w:tcPr>
          <w:p>
            <w:r>
              <w:t>Positive endoscopy without severe symptoms</w:t>
            </w:r>
          </w:p>
        </w:tc>
      </w:tr>
      <w:tr>
        <w:tc>
          <w:tcPr>
            <w:tcW w:type="dxa" w:w="4320"/>
          </w:tcPr>
          <w:p>
            <w:r>
              <w:t>10%</w:t>
            </w:r>
          </w:p>
        </w:tc>
        <w:tc>
          <w:tcPr>
            <w:tcW w:type="dxa" w:w="4320"/>
          </w:tcPr>
          <w:p>
            <w:r>
              <w:t>Heartburn, regurgitation, or epigastric pain with treatment; Barrett's esophagus</w:t>
            </w:r>
          </w:p>
        </w:tc>
      </w:tr>
      <w:tr>
        <w:tc>
          <w:tcPr>
            <w:tcW w:type="dxa" w:w="4320"/>
          </w:tcPr>
          <w:p>
            <w:r>
              <w:t>30%</w:t>
            </w:r>
          </w:p>
        </w:tc>
        <w:tc>
          <w:tcPr>
            <w:tcW w:type="dxa" w:w="4320"/>
          </w:tcPr>
          <w:p>
            <w:r>
              <w:t>Severe symptoms despite medical management; recurrent esophageal obstruction or perforation</w:t>
            </w:r>
          </w:p>
        </w:tc>
      </w:tr>
      <w:tr>
        <w:tc>
          <w:tcPr>
            <w:tcW w:type="dxa" w:w="4320"/>
          </w:tcPr>
          <w:p>
            <w:r>
              <w:t>60%</w:t>
            </w:r>
          </w:p>
        </w:tc>
        <w:tc>
          <w:tcPr>
            <w:tcW w:type="dxa" w:w="4320"/>
          </w:tcPr>
          <w:p>
            <w:r>
              <w:t>Surgery required (fundoplication); severe post-surgical complications</w:t>
            </w:r>
          </w:p>
        </w:tc>
      </w:tr>
    </w:tbl>
    <w:p>
      <w:pPr>
        <w:pStyle w:val="Heading3"/>
      </w:pPr>
      <w:r>
        <w:t>Key Evidence VA Looks For</w:t>
      </w:r>
    </w:p>
    <w:p>
      <w:pPr>
        <w:pStyle w:val="ListBullet"/>
      </w:pPr>
      <w:r>
        <w:t>Endoscopy/colonoscopy findings documenting mucosal damage or Barrett's metaplasia</w:t>
      </w:r>
    </w:p>
    <w:p>
      <w:pPr>
        <w:pStyle w:val="ListBullet"/>
      </w:pPr>
      <w:r>
        <w:t>Esophageal manometry showing dysfunction</w:t>
      </w:r>
    </w:p>
    <w:p>
      <w:pPr>
        <w:pStyle w:val="ListBullet"/>
      </w:pPr>
      <w:r>
        <w:t>pH monitoring demonstrating acid reflux frequency and duration</w:t>
      </w:r>
    </w:p>
    <w:p>
      <w:pPr>
        <w:pStyle w:val="ListBullet"/>
      </w:pPr>
      <w:r>
        <w:t>Medication regimen and symptom control logs</w:t>
      </w:r>
    </w:p>
    <w:p>
      <w:pPr>
        <w:pStyle w:val="ListBullet"/>
      </w:pPr>
      <w:r>
        <w:t>Impact on ability to eat/swallow; weight loss; anemia from chronic GI bleeding</w:t>
      </w:r>
    </w:p>
    <w:p>
      <w:pPr>
        <w:pStyle w:val="Heading3"/>
      </w:pPr>
      <w:r>
        <w:t>Common Secondary Filing Pathways</w:t>
      </w:r>
    </w:p>
    <w:p>
      <w:pPr>
        <w:pStyle w:val="ListBullet"/>
      </w:pPr>
      <w:r>
        <w:t>Secondary to PTSD/anxiety via HPA axis dysregulation causing vagal tone loss and GI inflammation</w:t>
      </w:r>
    </w:p>
    <w:p>
      <w:pPr>
        <w:pStyle w:val="ListBullet"/>
      </w:pPr>
      <w:r>
        <w:t>Secondary to MSK conditions (cervical/thoracic) limiting posture needed to prevent reflux</w:t>
      </w:r>
    </w:p>
    <w:p>
      <w:pPr>
        <w:pStyle w:val="ListBullet"/>
      </w:pPr>
      <w:r>
        <w:t>Secondary to SSRI medications causing increased GI motility and acid secretion</w:t>
      </w:r>
    </w:p>
    <w:p>
      <w:pPr>
        <w:pStyle w:val="ListBullet"/>
      </w:pPr>
      <w:r>
        <w:t>Secondary to depression causing appetite loss and nutritional deficiency</w:t>
      </w:r>
    </w:p>
    <w:p/>
    <w:p>
      <w:pPr>
        <w:pStyle w:val="Heading2"/>
      </w:pPr>
      <w:r>
        <w:rPr>
          <w:color w:val="1A1A2E"/>
        </w:rPr>
        <w:t>DC 7319: Irritable Bowel Syndrome (IBS)</w:t>
      </w:r>
    </w:p>
    <w:p>
      <w:pPr>
        <w:pStyle w:val="Heading3"/>
      </w:pPr>
      <w:r>
        <w:t>VA Rating Criteria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Rating</w:t>
            </w:r>
          </w:p>
        </w:tc>
        <w:tc>
          <w:tcPr>
            <w:tcW w:type="dxa" w:w="4320"/>
          </w:tcPr>
          <w:p>
            <w:r>
              <w:t>Criteria</w:t>
            </w:r>
          </w:p>
        </w:tc>
      </w:tr>
      <w:tr>
        <w:tc>
          <w:tcPr>
            <w:tcW w:type="dxa" w:w="4320"/>
          </w:tcPr>
          <w:p>
            <w:r>
              <w:t>0%</w:t>
            </w:r>
          </w:p>
        </w:tc>
        <w:tc>
          <w:tcPr>
            <w:tcW w:type="dxa" w:w="4320"/>
          </w:tcPr>
          <w:p>
            <w:r>
              <w:t>Positive diagnosis without symptoms or only occasional symptoms managed without restriction</w:t>
            </w:r>
          </w:p>
        </w:tc>
      </w:tr>
      <w:tr>
        <w:tc>
          <w:tcPr>
            <w:tcW w:type="dxa" w:w="4320"/>
          </w:tcPr>
          <w:p>
            <w:r>
              <w:t>10%</w:t>
            </w:r>
          </w:p>
        </w:tc>
        <w:tc>
          <w:tcPr>
            <w:tcW w:type="dxa" w:w="4320"/>
          </w:tcPr>
          <w:p>
            <w:r>
              <w:t>Symptoms present 1-3 times per week; minimal dietary/activity restrictions</w:t>
            </w:r>
          </w:p>
        </w:tc>
      </w:tr>
      <w:tr>
        <w:tc>
          <w:tcPr>
            <w:tcW w:type="dxa" w:w="4320"/>
          </w:tcPr>
          <w:p>
            <w:r>
              <w:t>30%</w:t>
            </w:r>
          </w:p>
        </w:tc>
        <w:tc>
          <w:tcPr>
            <w:tcW w:type="dxa" w:w="4320"/>
          </w:tcPr>
          <w:p>
            <w:r>
              <w:t>Symptoms present 4+ times per week; significant dietary restrictions; frequent emergency room visits</w:t>
            </w:r>
          </w:p>
        </w:tc>
      </w:tr>
      <w:tr>
        <w:tc>
          <w:tcPr>
            <w:tcW w:type="dxa" w:w="4320"/>
          </w:tcPr>
          <w:p>
            <w:r>
              <w:t>60%</w:t>
            </w:r>
          </w:p>
        </w:tc>
        <w:tc>
          <w:tcPr>
            <w:tcW w:type="dxa" w:w="4320"/>
          </w:tcPr>
          <w:p>
            <w:r>
              <w:t>Continuous symptoms; unable to maintain consistent diet; severe pain; hospitalization for flares</w:t>
            </w:r>
          </w:p>
        </w:tc>
      </w:tr>
    </w:tbl>
    <w:p>
      <w:pPr>
        <w:pStyle w:val="Heading3"/>
      </w:pPr>
      <w:r>
        <w:t>Key Evidence VA Looks For</w:t>
      </w:r>
    </w:p>
    <w:p>
      <w:pPr>
        <w:pStyle w:val="ListBullet"/>
      </w:pPr>
      <w:r>
        <w:t>Diagnosis criteria (Rome IV): recurrent abdominal pain 1+ days/week for 3+ months with symptom clusters</w:t>
      </w:r>
    </w:p>
    <w:p>
      <w:pPr>
        <w:pStyle w:val="ListBullet"/>
      </w:pPr>
      <w:r>
        <w:t>Stool studies ruling out infection/dysbiosis (microbiome testing)</w:t>
      </w:r>
    </w:p>
    <w:p>
      <w:pPr>
        <w:pStyle w:val="ListBullet"/>
      </w:pPr>
      <w:r>
        <w:t>Colonoscopy findings or imaging excluding structural disease</w:t>
      </w:r>
    </w:p>
    <w:p>
      <w:pPr>
        <w:pStyle w:val="ListBullet"/>
      </w:pPr>
      <w:r>
        <w:t>Symptom diary documenting frequency, severity, triggers</w:t>
      </w:r>
    </w:p>
    <w:p>
      <w:pPr>
        <w:pStyle w:val="ListBullet"/>
      </w:pPr>
      <w:r>
        <w:t>Response to treatment trials (dietary modifications, medications, probiotics)</w:t>
      </w:r>
    </w:p>
    <w:p>
      <w:pPr>
        <w:pStyle w:val="ListBullet"/>
      </w:pPr>
      <w:r>
        <w:t>Impact on work attendance and function</w:t>
      </w:r>
    </w:p>
    <w:p>
      <w:pPr>
        <w:pStyle w:val="Heading3"/>
      </w:pPr>
      <w:r>
        <w:t>Common Secondary Filing Pathways</w:t>
      </w:r>
    </w:p>
    <w:p>
      <w:pPr>
        <w:pStyle w:val="ListBullet"/>
      </w:pPr>
      <w:r>
        <w:t>Secondary to PTSD/anxiety via brain-gut axis dysregulation and vagal hypersensitivity</w:t>
      </w:r>
    </w:p>
    <w:p>
      <w:pPr>
        <w:pStyle w:val="ListBullet"/>
      </w:pPr>
      <w:r>
        <w:t>Secondary to SSRIs causing altered GI motility (diarrhea-predominant IBS)</w:t>
      </w:r>
    </w:p>
    <w:p>
      <w:pPr>
        <w:pStyle w:val="ListBullet"/>
      </w:pPr>
      <w:r>
        <w:t>Secondary to MSK pain conditions limiting mobility and causing stress response</w:t>
      </w:r>
    </w:p>
    <w:p>
      <w:pPr>
        <w:pStyle w:val="ListBullet"/>
      </w:pPr>
      <w:r>
        <w:t>Secondary to TBI causing autonomic dysfunction and sensory hypersensitivity</w:t>
      </w:r>
    </w:p>
    <w:p/>
    <w:p>
      <w:pPr>
        <w:pStyle w:val="Heading2"/>
      </w:pPr>
      <w:r>
        <w:rPr>
          <w:color w:val="1A1A2E"/>
        </w:rPr>
        <w:t>DC 7101: Hypertension (HTN)</w:t>
      </w:r>
    </w:p>
    <w:p>
      <w:pPr>
        <w:pStyle w:val="Heading3"/>
      </w:pPr>
      <w:r>
        <w:t>VA Rating Criteria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Rating</w:t>
            </w:r>
          </w:p>
        </w:tc>
        <w:tc>
          <w:tcPr>
            <w:tcW w:type="dxa" w:w="4320"/>
          </w:tcPr>
          <w:p>
            <w:r>
              <w:t>Criteria</w:t>
            </w:r>
          </w:p>
        </w:tc>
      </w:tr>
      <w:tr>
        <w:tc>
          <w:tcPr>
            <w:tcW w:type="dxa" w:w="4320"/>
          </w:tcPr>
          <w:p>
            <w:r>
              <w:t>0%</w:t>
            </w:r>
          </w:p>
        </w:tc>
        <w:tc>
          <w:tcPr>
            <w:tcW w:type="dxa" w:w="4320"/>
          </w:tcPr>
          <w:p>
            <w:r>
              <w:t>Elevated blood pressure noted but controlled with lifestyle; SBP &lt;140, DBP &lt;90</w:t>
            </w:r>
          </w:p>
        </w:tc>
      </w:tr>
      <w:tr>
        <w:tc>
          <w:tcPr>
            <w:tcW w:type="dxa" w:w="4320"/>
          </w:tcPr>
          <w:p>
            <w:r>
              <w:t>10%</w:t>
            </w:r>
          </w:p>
        </w:tc>
        <w:tc>
          <w:tcPr>
            <w:tcW w:type="dxa" w:w="4320"/>
          </w:tcPr>
          <w:p>
            <w:r>
              <w:t>Controlled with medication; occasional readings ≥140/90 but averaging &lt;150/100</w:t>
            </w:r>
          </w:p>
        </w:tc>
      </w:tr>
      <w:tr>
        <w:tc>
          <w:tcPr>
            <w:tcW w:type="dxa" w:w="4320"/>
          </w:tcPr>
          <w:p>
            <w:r>
              <w:t>20%</w:t>
            </w:r>
          </w:p>
        </w:tc>
        <w:tc>
          <w:tcPr>
            <w:tcW w:type="dxa" w:w="4320"/>
          </w:tcPr>
          <w:p>
            <w:r>
              <w:t>Controlled with single agent; readings consistently 150-159/100-109</w:t>
            </w:r>
          </w:p>
        </w:tc>
      </w:tr>
      <w:tr>
        <w:tc>
          <w:tcPr>
            <w:tcW w:type="dxa" w:w="4320"/>
          </w:tcPr>
          <w:p>
            <w:r>
              <w:t>40%</w:t>
            </w:r>
          </w:p>
        </w:tc>
        <w:tc>
          <w:tcPr>
            <w:tcW w:type="dxa" w:w="4320"/>
          </w:tcPr>
          <w:p>
            <w:r>
              <w:t>Difficult to control; multiple medications needed; readings 160+/110+; target organ damage (LVH, retinopathy)</w:t>
            </w:r>
          </w:p>
        </w:tc>
      </w:tr>
      <w:tr>
        <w:tc>
          <w:tcPr>
            <w:tcW w:type="dxa" w:w="4320"/>
          </w:tcPr>
          <w:p>
            <w:r>
              <w:t>60%</w:t>
            </w:r>
          </w:p>
        </w:tc>
        <w:tc>
          <w:tcPr>
            <w:tcW w:type="dxa" w:w="4320"/>
          </w:tcPr>
          <w:p>
            <w:r>
              <w:t>Malignant hypertension; hypertensive crisis; severe end-organ damage (kidney disease, stroke, MI)</w:t>
            </w:r>
          </w:p>
        </w:tc>
      </w:tr>
    </w:tbl>
    <w:p>
      <w:pPr>
        <w:pStyle w:val="Heading3"/>
      </w:pPr>
      <w:r>
        <w:t>Key Evidence VA Looks For</w:t>
      </w:r>
    </w:p>
    <w:p>
      <w:pPr>
        <w:pStyle w:val="ListBullet"/>
      </w:pPr>
      <w:r>
        <w:t>Unmedicated baseline blood pressure readings (crucial for PTSD-secondary claims)</w:t>
      </w:r>
    </w:p>
    <w:p>
      <w:pPr>
        <w:pStyle w:val="ListBullet"/>
      </w:pPr>
      <w:r>
        <w:t>Home blood pressure monitoring logs over 2-4 weeks</w:t>
      </w:r>
    </w:p>
    <w:p>
      <w:pPr>
        <w:pStyle w:val="ListBullet"/>
      </w:pPr>
      <w:r>
        <w:t>Cardiac workup: EKG showing left ventricular hypertrophy (LVH)</w:t>
      </w:r>
    </w:p>
    <w:p>
      <w:pPr>
        <w:pStyle w:val="ListBullet"/>
      </w:pPr>
      <w:r>
        <w:t>Echocardiogram if LVH suspected</w:t>
      </w:r>
    </w:p>
    <w:p>
      <w:pPr>
        <w:pStyle w:val="ListBullet"/>
      </w:pPr>
      <w:r>
        <w:t>Metabolic panel and renal function (creatinine, eGFR)</w:t>
      </w:r>
    </w:p>
    <w:p>
      <w:pPr>
        <w:pStyle w:val="ListBullet"/>
      </w:pPr>
      <w:r>
        <w:t>Medication list with dates started and response</w:t>
      </w:r>
    </w:p>
    <w:p>
      <w:pPr>
        <w:pStyle w:val="ListBullet"/>
      </w:pPr>
      <w:r>
        <w:t>Temporal relationship to PTSD onset/worsening</w:t>
      </w:r>
    </w:p>
    <w:p>
      <w:pPr>
        <w:pStyle w:val="Heading3"/>
      </w:pPr>
      <w:r>
        <w:t>Common Secondary Filing Pathways</w:t>
      </w:r>
    </w:p>
    <w:p>
      <w:pPr>
        <w:pStyle w:val="ListBullet"/>
      </w:pPr>
      <w:r>
        <w:t>Secondary to PTSD via sympathetic hyperactivation and catecholamine elevation</w:t>
      </w:r>
    </w:p>
    <w:p>
      <w:pPr>
        <w:pStyle w:val="ListBullet"/>
      </w:pPr>
      <w:r>
        <w:t>Secondary to MSK pain causing chronic pain-related hypertension</w:t>
      </w:r>
    </w:p>
    <w:p>
      <w:pPr>
        <w:pStyle w:val="ListBullet"/>
      </w:pPr>
      <w:r>
        <w:t>Secondary to sleep apnea (from sleep disruption in PTSD)</w:t>
      </w:r>
    </w:p>
    <w:p>
      <w:pPr>
        <w:pStyle w:val="ListBullet"/>
      </w:pPr>
      <w:r>
        <w:t>Secondary to medication effects (stimulants, decongestants, NSAIDs with SSRIs)</w:t>
      </w:r>
    </w:p>
    <w:p/>
    <w:p>
      <w:pPr>
        <w:pStyle w:val="Heading2"/>
      </w:pPr>
      <w:r>
        <w:rPr>
          <w:color w:val="1A1A2E"/>
        </w:rPr>
        <w:t>DC 5003: Degenerative Arthritis (Osteoarthritis)</w:t>
      </w:r>
    </w:p>
    <w:p>
      <w:pPr>
        <w:pStyle w:val="Heading3"/>
      </w:pPr>
      <w:r>
        <w:t>VA Rating Criteria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Rating</w:t>
            </w:r>
          </w:p>
        </w:tc>
        <w:tc>
          <w:tcPr>
            <w:tcW w:type="dxa" w:w="4320"/>
          </w:tcPr>
          <w:p>
            <w:r>
              <w:t>Criteria</w:t>
            </w:r>
          </w:p>
        </w:tc>
      </w:tr>
      <w:tr>
        <w:tc>
          <w:tcPr>
            <w:tcW w:type="dxa" w:w="4320"/>
          </w:tcPr>
          <w:p>
            <w:r>
              <w:t>0%</w:t>
            </w:r>
          </w:p>
        </w:tc>
        <w:tc>
          <w:tcPr>
            <w:tcW w:type="dxa" w:w="4320"/>
          </w:tcPr>
          <w:p>
            <w:r>
              <w:t>Diagnosis made; minimal to no symptoms; normal function</w:t>
            </w:r>
          </w:p>
        </w:tc>
      </w:tr>
      <w:tr>
        <w:tc>
          <w:tcPr>
            <w:tcW w:type="dxa" w:w="4320"/>
          </w:tcPr>
          <w:p>
            <w:r>
              <w:t>10%</w:t>
            </w:r>
          </w:p>
        </w:tc>
        <w:tc>
          <w:tcPr>
            <w:tcW w:type="dxa" w:w="4320"/>
          </w:tcPr>
          <w:p>
            <w:r>
              <w:t>Mild pain/stiffness; no swelling or very mild; normal ROM; normal function</w:t>
            </w:r>
          </w:p>
        </w:tc>
      </w:tr>
      <w:tr>
        <w:tc>
          <w:tcPr>
            <w:tcW w:type="dxa" w:w="4320"/>
          </w:tcPr>
          <w:p>
            <w:r>
              <w:t>20%</w:t>
            </w:r>
          </w:p>
        </w:tc>
        <w:tc>
          <w:tcPr>
            <w:tcW w:type="dxa" w:w="4320"/>
          </w:tcPr>
          <w:p>
            <w:r>
              <w:t>Moderate pain; mild swelling in affected joint; slight ROM limitation; functional limitation in work</w:t>
            </w:r>
          </w:p>
        </w:tc>
      </w:tr>
      <w:tr>
        <w:tc>
          <w:tcPr>
            <w:tcW w:type="dxa" w:w="4320"/>
          </w:tcPr>
          <w:p>
            <w:r>
              <w:t>30%</w:t>
            </w:r>
          </w:p>
        </w:tc>
        <w:tc>
          <w:tcPr>
            <w:tcW w:type="dxa" w:w="4320"/>
          </w:tcPr>
          <w:p>
            <w:r>
              <w:t>Significant pain; moderate swelling; ROM 50% of normal; substantial functional impact on ADLs and work</w:t>
            </w:r>
          </w:p>
        </w:tc>
      </w:tr>
      <w:tr>
        <w:tc>
          <w:tcPr>
            <w:tcW w:type="dxa" w:w="4320"/>
          </w:tcPr>
          <w:p>
            <w:r>
              <w:t>40%</w:t>
            </w:r>
          </w:p>
        </w:tc>
        <w:tc>
          <w:tcPr>
            <w:tcW w:type="dxa" w:w="4320"/>
          </w:tcPr>
          <w:p>
            <w:r>
              <w:t>Severe pain; significant swelling; ROM 25% of normal; marked functional limitation; assistive devices needed</w:t>
            </w:r>
          </w:p>
        </w:tc>
      </w:tr>
    </w:tbl>
    <w:p>
      <w:pPr>
        <w:pStyle w:val="Heading3"/>
      </w:pPr>
      <w:r>
        <w:t>Key Evidence VA Looks For</w:t>
      </w:r>
    </w:p>
    <w:p>
      <w:pPr>
        <w:pStyle w:val="ListBullet"/>
      </w:pPr>
      <w:r>
        <w:t>Imaging (X-ray, MRI) documenting cartilage loss, osteophytes, joint space narrowing</w:t>
      </w:r>
    </w:p>
    <w:p>
      <w:pPr>
        <w:pStyle w:val="ListBullet"/>
      </w:pPr>
      <w:r>
        <w:t>Timeline of symptom onset relative to military service</w:t>
      </w:r>
    </w:p>
    <w:p>
      <w:pPr>
        <w:pStyle w:val="ListBullet"/>
      </w:pPr>
      <w:r>
        <w:t>Gait analysis or biomechanics evaluation showing altered movement patterns</w:t>
      </w:r>
    </w:p>
    <w:p>
      <w:pPr>
        <w:pStyle w:val="ListBullet"/>
      </w:pPr>
      <w:r>
        <w:t>Functional assessment: ROM measurements, strength testing</w:t>
      </w:r>
    </w:p>
    <w:p>
      <w:pPr>
        <w:pStyle w:val="ListBullet"/>
      </w:pPr>
      <w:r>
        <w:t>Medication use and response (NSAIDs, intra-articular injections, physical therapy)</w:t>
      </w:r>
    </w:p>
    <w:p>
      <w:pPr>
        <w:pStyle w:val="ListBullet"/>
      </w:pPr>
      <w:r>
        <w:t>Documentation of impact on ADLs, work, and recreational activities</w:t>
      </w:r>
    </w:p>
    <w:p>
      <w:pPr>
        <w:pStyle w:val="ListBullet"/>
      </w:pPr>
      <w:r>
        <w:t>Consideration of secondary conditions (see DC 5003 secondary chains)</w:t>
      </w:r>
    </w:p>
    <w:p>
      <w:pPr>
        <w:pStyle w:val="Heading3"/>
      </w:pPr>
      <w:r>
        <w:t>Common Secondary Filing Pathways</w:t>
      </w:r>
    </w:p>
    <w:p>
      <w:pPr>
        <w:pStyle w:val="ListBullet"/>
      </w:pPr>
      <w:r>
        <w:t>MSK primary condition → secondary via kinetic chain (knee OA → hip compensation → hip OA)</w:t>
      </w:r>
    </w:p>
    <w:p>
      <w:pPr>
        <w:pStyle w:val="ListBullet"/>
      </w:pPr>
      <w:r>
        <w:t>MSK primary → secondary via altered loading patterns and biomechanics</w:t>
      </w:r>
    </w:p>
    <w:p>
      <w:pPr>
        <w:pStyle w:val="ListBullet"/>
      </w:pPr>
      <w:r>
        <w:t>PTSD-related muscular guarding → secondary OA from chronic tension</w:t>
      </w:r>
    </w:p>
    <w:p>
      <w:pPr>
        <w:pStyle w:val="ListBullet"/>
      </w:pPr>
      <w:r>
        <w:t>Secondary radiculopathy (DC 8520) from foraminal stenosis with OA progression</w:t>
      </w:r>
    </w:p>
    <w:p/>
    <w:p>
      <w:pPr>
        <w:pStyle w:val="Heading2"/>
      </w:pPr>
      <w:r>
        <w:rPr>
          <w:color w:val="1A1A2E"/>
        </w:rPr>
        <w:t>DC 8520: Radiculopathy (Nerve Root Compression)</w:t>
      </w:r>
    </w:p>
    <w:p>
      <w:pPr>
        <w:pStyle w:val="Heading3"/>
      </w:pPr>
      <w:r>
        <w:t>VA Rating Criteria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Rating</w:t>
            </w:r>
          </w:p>
        </w:tc>
        <w:tc>
          <w:tcPr>
            <w:tcW w:type="dxa" w:w="4320"/>
          </w:tcPr>
          <w:p>
            <w:r>
              <w:t>Criteria</w:t>
            </w:r>
          </w:p>
        </w:tc>
      </w:tr>
      <w:tr>
        <w:tc>
          <w:tcPr>
            <w:tcW w:type="dxa" w:w="4320"/>
          </w:tcPr>
          <w:p>
            <w:r>
              <w:t>0%</w:t>
            </w:r>
          </w:p>
        </w:tc>
        <w:tc>
          <w:tcPr>
            <w:tcW w:type="dxa" w:w="4320"/>
          </w:tcPr>
          <w:p>
            <w:r>
              <w:t>Positive imaging/EMG without symptoms</w:t>
            </w:r>
          </w:p>
        </w:tc>
      </w:tr>
      <w:tr>
        <w:tc>
          <w:tcPr>
            <w:tcW w:type="dxa" w:w="4320"/>
          </w:tcPr>
          <w:p>
            <w:r>
              <w:t>10%</w:t>
            </w:r>
          </w:p>
        </w:tc>
        <w:tc>
          <w:tcPr>
            <w:tcW w:type="dxa" w:w="4320"/>
          </w:tcPr>
          <w:p>
            <w:r>
              <w:t>Occasional radicular pain; minimal neurological signs; normal strength; normal function</w:t>
            </w:r>
          </w:p>
        </w:tc>
      </w:tr>
      <w:tr>
        <w:tc>
          <w:tcPr>
            <w:tcW w:type="dxa" w:w="4320"/>
          </w:tcPr>
          <w:p>
            <w:r>
              <w:t>20%</w:t>
            </w:r>
          </w:p>
        </w:tc>
        <w:tc>
          <w:tcPr>
            <w:tcW w:type="dxa" w:w="4320"/>
          </w:tcPr>
          <w:p>
            <w:r>
              <w:t>Moderate radicular pain with radiation; mild weakness (4+/5); intermittent symptoms; functional limitation</w:t>
            </w:r>
          </w:p>
        </w:tc>
      </w:tr>
      <w:tr>
        <w:tc>
          <w:tcPr>
            <w:tcW w:type="dxa" w:w="4320"/>
          </w:tcPr>
          <w:p>
            <w:r>
              <w:t>30%</w:t>
            </w:r>
          </w:p>
        </w:tc>
        <w:tc>
          <w:tcPr>
            <w:tcW w:type="dxa" w:w="4320"/>
          </w:tcPr>
          <w:p>
            <w:r>
              <w:t>Constant radicular pain; moderate weakness (3+/5); some neurological signs (decreased reflex); functional impact</w:t>
            </w:r>
          </w:p>
        </w:tc>
      </w:tr>
      <w:tr>
        <w:tc>
          <w:tcPr>
            <w:tcW w:type="dxa" w:w="4320"/>
          </w:tcPr>
          <w:p>
            <w:r>
              <w:t>40%</w:t>
            </w:r>
          </w:p>
        </w:tc>
        <w:tc>
          <w:tcPr>
            <w:tcW w:type="dxa" w:w="4320"/>
          </w:tcPr>
          <w:p>
            <w:r>
              <w:t>Severe radicular pain; significant weakness (3/5); marked neurological deficit; substantial functional limitation; surgery considered</w:t>
            </w:r>
          </w:p>
        </w:tc>
      </w:tr>
    </w:tbl>
    <w:p>
      <w:pPr>
        <w:pStyle w:val="Heading3"/>
      </w:pPr>
      <w:r>
        <w:t>Key Evidence VA Looks For</w:t>
      </w:r>
    </w:p>
    <w:p>
      <w:pPr>
        <w:pStyle w:val="ListBullet"/>
      </w:pPr>
      <w:r>
        <w:t>Imaging (MRI/CT) showing nerve root compression: disc herniation, stenosis, osteophytes</w:t>
      </w:r>
    </w:p>
    <w:p>
      <w:pPr>
        <w:pStyle w:val="ListBullet"/>
      </w:pPr>
      <w:r>
        <w:t>Electrodiagnostic testing (EMG/NCS) demonstrating denervation or slowed conduction</w:t>
      </w:r>
    </w:p>
    <w:p>
      <w:pPr>
        <w:pStyle w:val="ListBullet"/>
      </w:pPr>
      <w:r>
        <w:t>Physical exam findings: weakness, reflex loss, dermatomal pain distribution</w:t>
      </w:r>
    </w:p>
    <w:p>
      <w:pPr>
        <w:pStyle w:val="ListBullet"/>
      </w:pPr>
      <w:r>
        <w:t>Temporal relationship to primary MSK condition or trauma</w:t>
      </w:r>
    </w:p>
    <w:p>
      <w:pPr>
        <w:pStyle w:val="ListBullet"/>
      </w:pPr>
      <w:r>
        <w:t>Response to conservative treatment (physical therapy, epidural injections, medications)</w:t>
      </w:r>
    </w:p>
    <w:p>
      <w:pPr>
        <w:pStyle w:val="ListBullet"/>
      </w:pPr>
      <w:r>
        <w:t>Functional limitation documentation: gait changes, difficulty walking/climbing stairs</w:t>
      </w:r>
    </w:p>
    <w:p>
      <w:pPr>
        <w:pStyle w:val="ListBullet"/>
      </w:pPr>
      <w:r>
        <w:t>Consideration of secondary radiculopathy vs primary from MSK progression</w:t>
      </w:r>
    </w:p>
    <w:p>
      <w:pPr>
        <w:pStyle w:val="Heading3"/>
      </w:pPr>
      <w:r>
        <w:t>Common Secondary Filing Pathways</w:t>
      </w:r>
    </w:p>
    <w:p>
      <w:pPr>
        <w:pStyle w:val="ListBullet"/>
      </w:pPr>
      <w:r>
        <w:t>Secondary to lumbar/cervical OA (DC 5003) with foraminal stenosis</w:t>
      </w:r>
    </w:p>
    <w:p>
      <w:pPr>
        <w:pStyle w:val="ListBullet"/>
      </w:pPr>
      <w:r>
        <w:t>Secondary to MSK primary via disc herniation into root canal</w:t>
      </w:r>
    </w:p>
    <w:p>
      <w:pPr>
        <w:pStyle w:val="ListBullet"/>
      </w:pPr>
      <w:r>
        <w:t>Secondary chain: low back pain → altered gait → hip/knee involvement → radiculopathy</w:t>
      </w:r>
    </w:p>
    <w:p>
      <w:pPr>
        <w:pStyle w:val="ListBullet"/>
      </w:pPr>
      <w:r>
        <w:t>Secondary to failed back surgery syndrome (FBSS) with recurrent stenosis</w:t>
      </w:r>
    </w:p>
    <w:p>
      <w:pPr>
        <w:pStyle w:val="ListBullet"/>
      </w:pPr>
      <w:r>
        <w:t>May develop secondary secondary: radiculopathy → foot drop → ankle OA</w:t>
      </w:r>
    </w:p>
    <w:p/>
    <w:p/>
    <w:p>
      <w:pPr>
        <w:pStyle w:val="Heading2"/>
      </w:pPr>
      <w:r>
        <w:t>General VA Rater Perspective on Secondary Claims</w:t>
      </w:r>
    </w:p>
    <w:p>
      <w:r>
        <w:t>VA raters are trained on "VASRD" (Veterans Affairs Schedule for Rating Disabilities) criteria above. To build credible secondary claims:</w:t>
      </w:r>
    </w:p>
    <w:p>
      <w:pPr>
        <w:pStyle w:val="ListBullet"/>
      </w:pPr>
      <w:r>
        <w:t>Provide unmedicated baseline: Raters want to see pre-medication severity, not medicated stability</w:t>
      </w:r>
    </w:p>
    <w:p>
      <w:pPr>
        <w:pStyle w:val="ListBullet"/>
      </w:pPr>
      <w:r>
        <w:t>Show temporal relationship: Document timing of secondary onset relative to primary service-connection date</w:t>
      </w:r>
    </w:p>
    <w:p>
      <w:pPr>
        <w:pStyle w:val="ListBullet"/>
      </w:pPr>
      <w:r>
        <w:t>Use objective evidence: Lab values, imaging, EMG—subjective complaints alone rarely persuade</w:t>
      </w:r>
    </w:p>
    <w:p>
      <w:pPr>
        <w:pStyle w:val="ListBullet"/>
      </w:pPr>
      <w:r>
        <w:t>Address comorbidity: Don't claim secondary without acknowledging other risk factors (age, BMI, smoking)</w:t>
      </w:r>
    </w:p>
    <w:p>
      <w:pPr>
        <w:pStyle w:val="ListBullet"/>
      </w:pPr>
      <w:r>
        <w:t>Nexus statements: Weak links ("could be related") get rejected; strong nexus explains specific mechanism</w:t>
      </w:r>
    </w:p>
    <w:p>
      <w:pPr>
        <w:pStyle w:val="ListBullet"/>
      </w:pPr>
      <w:r>
        <w:t>Functional impact: Raters care about limitations in ADLs, work ability, and life quality—emphasize functional loss</w:t>
      </w:r>
    </w:p>
    <w:p/>
    <w:p>
      <w:pPr>
        <w:jc w:val="center"/>
      </w:pPr>
      <w:r>
        <w:rPr>
          <w:color w:val="808080"/>
          <w:sz w:val="18"/>
        </w:rPr>
        <w:t>Version 1.0 | FWD Assist HQ | VA Secondary Claims Documentation</w:t>
      </w:r>
    </w:p>
    <w:sectPr w:rsidR="00FC693F" w:rsidRPr="0006063C" w:rsidSect="00034616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