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color w:val="1A1A2E"/>
          <w:sz w:val="36"/>
          <w:szCs w:val="36"/>
        </w:rPr>
        <w:t xml:space="preserve">MST Claims Evidence Kit</w:t>
      </w:r>
    </w:p>
    <w:p>
      <w:pPr>
        <w:spacing w:after="240"/>
      </w:pPr>
      <w:r>
        <w:rPr>
          <w:sz w:val="24"/>
          <w:szCs w:val="24"/>
        </w:rPr>
        <w:t xml:space="preserve">Build Your Military Sexual Trauma PTSD Claim Under 38 CFR 3.304(f)(5)</w:t>
      </w:r>
    </w:p>
    <w:p>
      <w:pPr>
        <w:pStyle w:val="Heading2"/>
      </w:pPr>
      <w:r>
        <w:rPr>
          <w:b/>
          <w:bCs/>
          <w:color w:val="0F3460"/>
        </w:rPr>
        <w:t xml:space="preserve">Understanding MST Claims Under VA Law</w:t>
      </w:r>
    </w:p>
    <w:p>
      <w:pPr>
        <w:spacing w:after="240"/>
      </w:pPr>
      <w:r>
        <w:t xml:space="preserve">Military Sexual Trauma (MST) is treated specially under VA law. You do not need a police report, criminal conviction, or graphic evidence of assault. The VA recognizes that MST survivors often have barriers to reporting and that shame prevents many from seeking help.
Instead of requiring graphic detail, the VA looks for &amp;#x201C;marker evidence&amp;#x201D; — behavioral changes and patterns that show something traumatic happened and affected you.
MST includes: rape, sexual assault, unwanted sexual contact, sexual harassment of a sexual nature, or threat of sexual assault.</w:t>
      </w:r>
    </w:p>
    <w:p>
      <w:pPr>
        <w:pStyle w:val="Heading2"/>
      </w:pPr>
      <w:r>
        <w:rPr>
          <w:b/>
          <w:bCs/>
          <w:color w:val="0F3460"/>
        </w:rPr>
        <w:t xml:space="preserve">The Eight Categories of Marker Evidence</w:t>
      </w:r>
    </w:p>
    <w:p>
      <w:pPr>
        <w:spacing w:after="120"/>
      </w:pPr>
      <w:r>
        <w:t xml:space="preserve">If you cannot provide detailed incident reports, look for evidence in these eight categories. You do not need evidence from all categories, but multiple pieces strengthen your case significantly.</w:t>
      </w:r>
    </w:p>
    <w:p>
      <w:pPr>
        <w:pStyle w:val="Heading3"/>
      </w:pPr>
      <w:r>
        <w:rPr>
          <w:b/>
          <w:bCs/>
          <w:color w:val="E94560"/>
        </w:rPr>
        <w:t xml:space="preserve">Category 1: Records from Law Enforcement, Rape Crisis Centers, or Mental Health Services</w:t>
      </w:r>
    </w:p>
    <w:p>
      <w:pPr>
        <w:pStyle w:val="ListParagraph"/>
        <w:numPr>
          <w:ilvl w:val="0"/>
          <w:numId w:val="2"/>
        </w:numPr>
      </w:pPr>
      <w:r>
        <w:t xml:space="preserve">Police reports or incident reports (even if not prosecuted)</w:t>
      </w:r>
    </w:p>
    <w:p>
      <w:pPr>
        <w:pStyle w:val="ListParagraph"/>
        <w:numPr>
          <w:ilvl w:val="0"/>
          <w:numId w:val="2"/>
        </w:numPr>
      </w:pPr>
      <w:r>
        <w:t xml:space="preserve">Records from a civilian rape crisis center or sexual assault counselor</w:t>
      </w:r>
    </w:p>
    <w:p>
      <w:pPr>
        <w:pStyle w:val="ListParagraph"/>
        <w:numPr>
          <w:ilvl w:val="0"/>
          <w:numId w:val="2"/>
        </w:numPr>
      </w:pPr>
      <w:r>
        <w:t xml:space="preserve">Military mental health records showing you sought counseling</w:t>
      </w:r>
    </w:p>
    <w:p>
      <w:pPr>
        <w:pStyle w:val="ListParagraph"/>
        <w:numPr>
          <w:ilvl w:val="0"/>
          <w:numId w:val="2"/>
        </w:numPr>
      </w:pPr>
      <w:r>
        <w:t xml:space="preserve">VA mental health records (from ASAP or any provider) where you disclosed MST</w:t>
      </w:r>
    </w:p>
    <w:p>
      <w:pPr>
        <w:pStyle w:val="ListParagraph"/>
        <w:numPr>
          <w:ilvl w:val="0"/>
          <w:numId w:val="2"/>
        </w:numPr>
        <w:spacing w:after="240"/>
      </w:pPr>
      <w:r>
        <w:t xml:space="preserve">DoD Safe Helpline records (if you called 1-877-995-5247)</w:t>
      </w:r>
    </w:p>
    <w:p>
      <w:pPr>
        <w:pStyle w:val="Heading3"/>
      </w:pPr>
      <w:r>
        <w:rPr>
          <w:b/>
          <w:bCs/>
          <w:color w:val="E94560"/>
        </w:rPr>
        <w:t xml:space="preserve">Category 2: Records from Religious or Spiritual Counseling</w:t>
      </w:r>
    </w:p>
    <w:p>
      <w:pPr>
        <w:pStyle w:val="ListParagraph"/>
        <w:numPr>
          <w:ilvl w:val="0"/>
          <w:numId w:val="2"/>
        </w:numPr>
      </w:pPr>
      <w:r>
        <w:t xml:space="preserve">Statement from military chaplain confirming you sought spiritual guidance</w:t>
      </w:r>
    </w:p>
    <w:p>
      <w:pPr>
        <w:pStyle w:val="ListParagraph"/>
        <w:numPr>
          <w:ilvl w:val="0"/>
          <w:numId w:val="2"/>
        </w:numPr>
      </w:pPr>
      <w:r>
        <w:t xml:space="preserve">Records from clergy member or religious counselor who you told about the assault</w:t>
      </w:r>
    </w:p>
    <w:p>
      <w:pPr>
        <w:pStyle w:val="ListParagraph"/>
        <w:numPr>
          <w:ilvl w:val="0"/>
          <w:numId w:val="2"/>
        </w:numPr>
        <w:spacing w:after="240"/>
      </w:pPr>
      <w:r>
        <w:t xml:space="preserve">Letter from spiritual leader describing your condition and any disclosure you made</w:t>
      </w:r>
    </w:p>
    <w:p>
      <w:pPr>
        <w:pStyle w:val="Heading3"/>
      </w:pPr>
      <w:r>
        <w:rPr>
          <w:b/>
          <w:bCs/>
          <w:color w:val="E94560"/>
        </w:rPr>
        <w:t xml:space="preserve">Category 3: Medical Evidence of Pregnancy, STD, or Sexual Injury</w:t>
      </w:r>
    </w:p>
    <w:p>
      <w:pPr>
        <w:pStyle w:val="ListParagraph"/>
        <w:numPr>
          <w:ilvl w:val="0"/>
          <w:numId w:val="2"/>
        </w:numPr>
      </w:pPr>
      <w:r>
        <w:t xml:space="preserve">Pregnancy test during service (unexpected pregnancy)</w:t>
      </w:r>
    </w:p>
    <w:p>
      <w:pPr>
        <w:pStyle w:val="ListParagraph"/>
        <w:numPr>
          <w:ilvl w:val="0"/>
          <w:numId w:val="2"/>
        </w:numPr>
      </w:pPr>
      <w:r>
        <w:t xml:space="preserve">STD diagnosis during or shortly after service</w:t>
      </w:r>
    </w:p>
    <w:p>
      <w:pPr>
        <w:pStyle w:val="ListParagraph"/>
        <w:numPr>
          <w:ilvl w:val="0"/>
          <w:numId w:val="2"/>
        </w:numPr>
      </w:pPr>
      <w:r>
        <w:t xml:space="preserve">Medical records of injuries consistent with sexual trauma (bruising, tearing, infection)</w:t>
      </w:r>
    </w:p>
    <w:p>
      <w:pPr>
        <w:pStyle w:val="ListParagraph"/>
        <w:numPr>
          <w:ilvl w:val="0"/>
          <w:numId w:val="2"/>
        </w:numPr>
        <w:spacing w:after="240"/>
      </w:pPr>
      <w:r>
        <w:t xml:space="preserve">Emergency room visit for post-assault care</w:t>
      </w:r>
    </w:p>
    <w:p>
      <w:pPr>
        <w:pStyle w:val="Heading3"/>
      </w:pPr>
      <w:r>
        <w:rPr>
          <w:b/>
          <w:bCs/>
          <w:color w:val="E94560"/>
        </w:rPr>
        <w:t xml:space="preserve">Category 4: Statements from Family, Friends, or Clergy</w:t>
      </w:r>
    </w:p>
    <w:p>
      <w:pPr>
        <w:pStyle w:val="ListParagraph"/>
        <w:numPr>
          <w:ilvl w:val="0"/>
          <w:numId w:val="2"/>
        </w:numPr>
      </w:pPr>
      <w:r>
        <w:t xml:space="preserve">Written statement from friend: &amp;#x201C;After [date], [name] became withdrawn and told me about being assaulted. They were never the same.&amp;#x201D;</w:t>
      </w:r>
    </w:p>
    <w:p>
      <w:pPr>
        <w:pStyle w:val="ListParagraph"/>
        <w:numPr>
          <w:ilvl w:val="0"/>
          <w:numId w:val="2"/>
        </w:numPr>
      </w:pPr>
      <w:r>
        <w:t xml:space="preserve">Family member statement about behavioral changes observed when you came home from service</w:t>
      </w:r>
    </w:p>
    <w:p>
      <w:pPr>
        <w:pStyle w:val="ListParagraph"/>
        <w:numPr>
          <w:ilvl w:val="0"/>
          <w:numId w:val="2"/>
        </w:numPr>
      </w:pPr>
      <w:r>
        <w:t xml:space="preserve">Statement from fellow service member who noticed changes or to whom you disclosed</w:t>
      </w:r>
    </w:p>
    <w:p>
      <w:pPr>
        <w:pStyle w:val="ListParagraph"/>
        <w:numPr>
          <w:ilvl w:val="0"/>
          <w:numId w:val="2"/>
        </w:numPr>
        <w:spacing w:after="240"/>
      </w:pPr>
      <w:r>
        <w:t xml:space="preserve">Testimony that you avoided certain people or locations after the assault</w:t>
      </w:r>
    </w:p>
    <w:p>
      <w:pPr>
        <w:pStyle w:val="Heading3"/>
      </w:pPr>
      <w:r>
        <w:rPr>
          <w:b/>
          <w:bCs/>
          <w:color w:val="E94560"/>
        </w:rPr>
        <w:t xml:space="preserve">Category 5: Request for Transfer or Change in Duty Assignment</w:t>
      </w:r>
    </w:p>
    <w:p>
      <w:pPr>
        <w:pStyle w:val="ListParagraph"/>
        <w:numPr>
          <w:ilvl w:val="0"/>
          <w:numId w:val="2"/>
        </w:numPr>
      </w:pPr>
      <w:r>
        <w:t xml:space="preserve">Military records showing you requested transfer to different unit or base</w:t>
      </w:r>
    </w:p>
    <w:p>
      <w:pPr>
        <w:pStyle w:val="ListParagraph"/>
        <w:numPr>
          <w:ilvl w:val="0"/>
          <w:numId w:val="2"/>
        </w:numPr>
      </w:pPr>
      <w:r>
        <w:t xml:space="preserve">Documentation that you requested to work different hours or with different personnel</w:t>
      </w:r>
    </w:p>
    <w:p>
      <w:pPr>
        <w:pStyle w:val="ListParagraph"/>
        <w:numPr>
          <w:ilvl w:val="0"/>
          <w:numId w:val="2"/>
        </w:numPr>
      </w:pPr>
      <w:r>
        <w:t xml:space="preserve">Note in personnel file showing commander&amp;#x2019;s comment on transfer request</w:t>
      </w:r>
    </w:p>
    <w:p>
      <w:pPr>
        <w:pStyle w:val="ListParagraph"/>
        <w:numPr>
          <w:ilvl w:val="0"/>
          <w:numId w:val="2"/>
        </w:numPr>
        <w:spacing w:after="240"/>
      </w:pPr>
      <w:r>
        <w:t xml:space="preserve">Evidence you avoided certain barracks, locations, or personnel after a specific date</w:t>
      </w:r>
    </w:p>
    <w:p>
      <w:pPr>
        <w:pStyle w:val="Heading3"/>
      </w:pPr>
      <w:r>
        <w:rPr>
          <w:b/>
          <w:bCs/>
          <w:color w:val="E94560"/>
        </w:rPr>
        <w:t xml:space="preserve">Category 6: Deterioration in Work Performance or Military Duty Ratings</w:t>
      </w:r>
    </w:p>
    <w:p>
      <w:pPr>
        <w:pStyle w:val="ListParagraph"/>
        <w:numPr>
          <w:ilvl w:val="0"/>
          <w:numId w:val="2"/>
        </w:numPr>
      </w:pPr>
      <w:r>
        <w:t xml:space="preserve">Performance evaluations showing &amp;#x201C;meets standards&amp;#x201D; before assault, then &amp;#x201C;below standards&amp;#x201D; after</w:t>
      </w:r>
    </w:p>
    <w:p>
      <w:pPr>
        <w:pStyle w:val="ListParagraph"/>
        <w:numPr>
          <w:ilvl w:val="0"/>
          <w:numId w:val="2"/>
        </w:numPr>
      </w:pPr>
      <w:r>
        <w:t xml:space="preserve">Promotion delayed after the assault date</w:t>
      </w:r>
    </w:p>
    <w:p>
      <w:pPr>
        <w:pStyle w:val="ListParagraph"/>
        <w:numPr>
          <w:ilvl w:val="0"/>
          <w:numId w:val="2"/>
        </w:numPr>
      </w:pPr>
      <w:r>
        <w:t xml:space="preserve">Reduction in rank or duty responsibilities</w:t>
      </w:r>
    </w:p>
    <w:p>
      <w:pPr>
        <w:pStyle w:val="ListParagraph"/>
        <w:numPr>
          <w:ilvl w:val="0"/>
          <w:numId w:val="2"/>
        </w:numPr>
        <w:spacing w:after="240"/>
      </w:pPr>
      <w:r>
        <w:t xml:space="preserve">Command counseling notes showing decrease in performance</w:t>
      </w:r>
    </w:p>
    <w:p>
      <w:pPr>
        <w:pStyle w:val="Heading3"/>
      </w:pPr>
      <w:r>
        <w:rPr>
          <w:b/>
          <w:bCs/>
          <w:color w:val="E94560"/>
        </w:rPr>
        <w:t xml:space="preserve">Category 7: Behavioral Changes (Substance Abuse, Depression, Panic, Anxiety)</w:t>
      </w:r>
    </w:p>
    <w:p>
      <w:pPr>
        <w:pStyle w:val="ListParagraph"/>
        <w:numPr>
          <w:ilvl w:val="0"/>
          <w:numId w:val="2"/>
        </w:numPr>
      </w:pPr>
      <w:r>
        <w:t xml:space="preserve">Military treatment records showing new diagnosis of depression or anxiety after a specific date</w:t>
      </w:r>
    </w:p>
    <w:p>
      <w:pPr>
        <w:pStyle w:val="ListParagraph"/>
        <w:numPr>
          <w:ilvl w:val="0"/>
          <w:numId w:val="2"/>
        </w:numPr>
      </w:pPr>
      <w:r>
        <w:t xml:space="preserve">Substance abuse or increased alcohol use documented in service records after the assault</w:t>
      </w:r>
    </w:p>
    <w:p>
      <w:pPr>
        <w:pStyle w:val="ListParagraph"/>
        <w:numPr>
          <w:ilvl w:val="0"/>
          <w:numId w:val="2"/>
        </w:numPr>
      </w:pPr>
      <w:r>
        <w:t xml:space="preserve">DUI/Article 15 for alcohol-related incident after the assault (suggesting self-medication)</w:t>
      </w:r>
    </w:p>
    <w:p>
      <w:pPr>
        <w:pStyle w:val="ListParagraph"/>
        <w:numPr>
          <w:ilvl w:val="0"/>
          <w:numId w:val="2"/>
        </w:numPr>
        <w:spacing w:after="240"/>
      </w:pPr>
      <w:r>
        <w:t xml:space="preserve">First panic attack or anxiety episode documented in medical records coinciding with assault date</w:t>
      </w:r>
    </w:p>
    <w:p>
      <w:pPr>
        <w:pStyle w:val="Heading3"/>
      </w:pPr>
      <w:r>
        <w:rPr>
          <w:b/>
          <w:bCs/>
          <w:color w:val="E94560"/>
        </w:rPr>
        <w:t xml:space="preserve">Category 8: Relationship Difficulties (Divorce, Breakup, Trust Issues)</w:t>
      </w:r>
    </w:p>
    <w:p>
      <w:pPr>
        <w:pStyle w:val="ListParagraph"/>
        <w:numPr>
          <w:ilvl w:val="0"/>
          <w:numId w:val="2"/>
        </w:numPr>
      </w:pPr>
      <w:r>
        <w:t xml:space="preserve">Divorce or separation papers showing date of separation correlates with service period</w:t>
      </w:r>
    </w:p>
    <w:p>
      <w:pPr>
        <w:pStyle w:val="ListParagraph"/>
        <w:numPr>
          <w:ilvl w:val="0"/>
          <w:numId w:val="2"/>
        </w:numPr>
      </w:pPr>
      <w:r>
        <w:t xml:space="preserve">Statement from ex-partner: &amp;#x201C;After [event], they could not trust or be intimate. I knew something happened during service.&amp;#x201D;</w:t>
      </w:r>
    </w:p>
    <w:p>
      <w:pPr>
        <w:pStyle w:val="ListParagraph"/>
        <w:numPr>
          <w:ilvl w:val="0"/>
          <w:numId w:val="2"/>
        </w:numPr>
      </w:pPr>
      <w:r>
        <w:t xml:space="preserve">Documented pattern of relationship failures following the assault</w:t>
      </w:r>
    </w:p>
    <w:p>
      <w:pPr>
        <w:pStyle w:val="ListParagraph"/>
        <w:numPr>
          <w:ilvl w:val="0"/>
          <w:numId w:val="2"/>
        </w:numPr>
        <w:spacing w:after="240"/>
      </w:pPr>
      <w:r>
        <w:t xml:space="preserve">Statement from therapist about trauma-related intimacy issues</w:t>
      </w:r>
    </w:p>
    <w:p>
      <w:r>
        <w:br w:type="page"/>
      </w:r>
    </w:p>
    <w:p>
      <w:pPr>
        <w:pStyle w:val="Heading2"/>
      </w:pPr>
      <w:r>
        <w:rPr>
          <w:b/>
          <w:bCs/>
          <w:color w:val="0F3460"/>
        </w:rPr>
        <w:t xml:space="preserve">MST Evidence Collection Worksheet</w:t>
      </w:r>
    </w:p>
    <w:p>
      <w:pPr>
        <w:spacing w:after="120"/>
      </w:pPr>
      <w:r>
        <w:t xml:space="preserve">Use this worksheet to track what evidence exists for your claim: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CCCCCC" w:sz="1"/>
              <w:left w:val="single" w:color="CCCCCC" w:sz="1"/>
              <w:bottom w:val="single" w:color="CCCCCC" w:sz="1"/>
              <w:right w:val="single" w:color="CCCCCC" w:sz="1"/>
            </w:tcBorders>
            <w:shd w:fill="0F3460" w:val="clear"/>
            <w:tcMar>
              <w:top w:type="dxa" w:w="80"/>
              <w:left w:type="dxa" w:w="80"/>
              <w:bottom w:type="dxa" w:w="80"/>
              <w:right w:type="dxa" w:w="80"/>
            </w:tcMar>
          </w:tcPr>
          <w:p>
            <w:r>
              <w:rPr>
                <w:b/>
                <w:bCs/>
                <w:color w:val="FFFFFF"/>
              </w:rPr>
              <w:t xml:space="preserve">Evidence Category</w:t>
            </w:r>
          </w:p>
        </w:tc>
        <w:tc>
          <w:tcPr>
            <w:tcBorders>
              <w:top w:val="single" w:color="CCCCCC" w:sz="1"/>
              <w:left w:val="single" w:color="CCCCCC" w:sz="1"/>
              <w:bottom w:val="single" w:color="CCCCCC" w:sz="1"/>
              <w:right w:val="single" w:color="CCCCCC" w:sz="1"/>
            </w:tcBorders>
            <w:shd w:fill="0F3460" w:val="clear"/>
            <w:tcMar>
              <w:top w:type="dxa" w:w="80"/>
              <w:left w:type="dxa" w:w="80"/>
              <w:bottom w:type="dxa" w:w="80"/>
              <w:right w:type="dxa" w:w="80"/>
            </w:tcMar>
          </w:tcPr>
          <w:p>
            <w:r>
              <w:rPr>
                <w:b/>
                <w:bCs/>
                <w:color w:val="FFFFFF"/>
              </w:rPr>
              <w:t xml:space="preserve">What I Have</w:t>
            </w:r>
          </w:p>
        </w:tc>
        <w:tc>
          <w:tcPr>
            <w:tcBorders>
              <w:top w:val="single" w:color="CCCCCC" w:sz="1"/>
              <w:left w:val="single" w:color="CCCCCC" w:sz="1"/>
              <w:bottom w:val="single" w:color="CCCCCC" w:sz="1"/>
              <w:right w:val="single" w:color="CCCCCC" w:sz="1"/>
            </w:tcBorders>
            <w:shd w:fill="0F3460" w:val="clear"/>
            <w:tcMar>
              <w:top w:type="dxa" w:w="80"/>
              <w:left w:type="dxa" w:w="80"/>
              <w:bottom w:type="dxa" w:w="80"/>
              <w:right w:type="dxa" w:w="80"/>
            </w:tcMar>
          </w:tcPr>
          <w:p>
            <w:r>
              <w:rPr>
                <w:b/>
                <w:bCs/>
                <w:color w:val="FFFFFF"/>
              </w:rPr>
              <w:t xml:space="preserve">Where to Get It</w:t>
            </w:r>
          </w:p>
        </w:tc>
        <w:tc>
          <w:tcPr>
            <w:tcBorders>
              <w:top w:val="single" w:color="CCCCCC" w:sz="1"/>
              <w:left w:val="single" w:color="CCCCCC" w:sz="1"/>
              <w:bottom w:val="single" w:color="CCCCCC" w:sz="1"/>
              <w:right w:val="single" w:color="CCCCCC" w:sz="1"/>
            </w:tcBorders>
            <w:shd w:fill="0F3460" w:val="clear"/>
            <w:tcMar>
              <w:top w:type="dxa" w:w="80"/>
              <w:left w:type="dxa" w:w="80"/>
              <w:bottom w:type="dxa" w:w="80"/>
              <w:right w:type="dxa" w:w="80"/>
            </w:tcMar>
          </w:tcPr>
          <w:p>
            <w:r>
              <w:rPr>
                <w:b/>
                <w:bCs/>
                <w:color w:val="FFFFFF"/>
              </w:rPr>
              <w:t xml:space="preserve">Status</w:t>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Police/Crisis Center Records</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Local PD, RAINN, VA ASAP</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Religious Counselor</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Military chaplain, clergy</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Medical Evidence (STD, Preg)</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VA records, NPRC</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Friend/Family Statements</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Contact friends/family</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Transfer Request</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Personnel records, NPRC</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Performance Decline</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Military records, NPRC</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Mental Health Diagnosis</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Service med records</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r>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Relationship Issues</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Ex-partner, therapist</w:t>
            </w:r>
          </w:p>
        </w:tc>
        <w:tc>
          <w:tcPr>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
            </w:r>
          </w:p>
        </w:tc>
      </w:tr>
    </w:tbl>
    <w:p>
      <w:pPr>
        <w:spacing w:after="240"/>
      </w:pPr>
      <w:r>
        <w:t xml:space="preserve"/>
      </w:r>
    </w:p>
    <w:p>
      <w:r>
        <w:br w:type="page"/>
      </w:r>
    </w:p>
    <w:p>
      <w:pPr>
        <w:pStyle w:val="Heading2"/>
      </w:pPr>
      <w:r>
        <w:rPr>
          <w:b/>
          <w:bCs/>
          <w:color w:val="0F3460"/>
        </w:rPr>
        <w:t xml:space="preserve">MST Support Resources</w:t>
      </w:r>
    </w:p>
    <w:p>
      <w:pPr>
        <w:spacing w:after="120"/>
      </w:pPr>
      <w:r>
        <w:t xml:space="preserve">You do not have to file a claim alone. These organizations provide free support:</w:t>
      </w:r>
    </w:p>
    <w:p>
      <w:pPr>
        <w:pStyle w:val="Heading3"/>
      </w:pPr>
      <w:r>
        <w:rPr>
          <w:b/>
          <w:bCs/>
          <w:color w:val="E94560"/>
        </w:rPr>
        <w:t xml:space="preserve">Veterans Crisis Line</w:t>
      </w:r>
    </w:p>
    <w:p>
      <w:pPr>
        <w:pStyle w:val="ListParagraph"/>
        <w:numPr>
          <w:ilvl w:val="0"/>
          <w:numId w:val="2"/>
        </w:numPr>
      </w:pPr>
      <w:r>
        <w:t xml:space="preserve">Call or text 988, then press 1</w:t>
      </w:r>
    </w:p>
    <w:p>
      <w:pPr>
        <w:pStyle w:val="ListParagraph"/>
        <w:numPr>
          <w:ilvl w:val="0"/>
          <w:numId w:val="2"/>
        </w:numPr>
      </w:pPr>
      <w:r>
        <w:t xml:space="preserve">Available 24/7, 365 days per year</w:t>
      </w:r>
    </w:p>
    <w:p>
      <w:pPr>
        <w:pStyle w:val="ListParagraph"/>
        <w:numPr>
          <w:ilvl w:val="0"/>
          <w:numId w:val="2"/>
        </w:numPr>
        <w:spacing w:after="240"/>
      </w:pPr>
      <w:r>
        <w:t xml:space="preserve">Counselors trained in trauma and MST</w:t>
      </w:r>
    </w:p>
    <w:p>
      <w:pPr>
        <w:pStyle w:val="Heading3"/>
      </w:pPr>
      <w:r>
        <w:rPr>
          <w:b/>
          <w:bCs/>
          <w:color w:val="E94560"/>
        </w:rPr>
        <w:t xml:space="preserve">National Sexual Assault Hotline (RAINN)</w:t>
      </w:r>
    </w:p>
    <w:p>
      <w:pPr>
        <w:pStyle w:val="ListParagraph"/>
        <w:numPr>
          <w:ilvl w:val="0"/>
          <w:numId w:val="2"/>
        </w:numPr>
      </w:pPr>
      <w:r>
        <w:t xml:space="preserve">1-800-656-4673 (RAINN)</w:t>
      </w:r>
    </w:p>
    <w:p>
      <w:pPr>
        <w:pStyle w:val="ListParagraph"/>
        <w:numPr>
          <w:ilvl w:val="0"/>
          <w:numId w:val="2"/>
        </w:numPr>
      </w:pPr>
      <w:r>
        <w:t xml:space="preserve">Available 24/7</w:t>
      </w:r>
    </w:p>
    <w:p>
      <w:pPr>
        <w:pStyle w:val="ListParagraph"/>
        <w:numPr>
          <w:ilvl w:val="0"/>
          <w:numId w:val="2"/>
        </w:numPr>
        <w:spacing w:after="240"/>
      </w:pPr>
      <w:r>
        <w:t xml:space="preserve">Free confidential support and resources</w:t>
      </w:r>
    </w:p>
    <w:p>
      <w:pPr>
        <w:pStyle w:val="Heading3"/>
      </w:pPr>
      <w:r>
        <w:rPr>
          <w:b/>
          <w:bCs/>
          <w:color w:val="E94560"/>
        </w:rPr>
        <w:t xml:space="preserve">DoD Safe Helpline</w:t>
      </w:r>
    </w:p>
    <w:p>
      <w:pPr>
        <w:pStyle w:val="ListParagraph"/>
        <w:numPr>
          <w:ilvl w:val="0"/>
          <w:numId w:val="2"/>
        </w:numPr>
      </w:pPr>
      <w:r>
        <w:t xml:space="preserve">1-877-995-5247</w:t>
      </w:r>
    </w:p>
    <w:p>
      <w:pPr>
        <w:pStyle w:val="ListParagraph"/>
        <w:numPr>
          <w:ilvl w:val="0"/>
          <w:numId w:val="2"/>
        </w:numPr>
      </w:pPr>
      <w:r>
        <w:t xml:space="preserve">For active duty and their families</w:t>
      </w:r>
    </w:p>
    <w:p>
      <w:pPr>
        <w:pStyle w:val="ListParagraph"/>
        <w:numPr>
          <w:ilvl w:val="0"/>
          <w:numId w:val="2"/>
        </w:numPr>
        <w:spacing w:after="240"/>
      </w:pPr>
      <w:r>
        <w:t xml:space="preserve">Chat, phone, or email support</w:t>
      </w:r>
    </w:p>
    <w:p>
      <w:pPr>
        <w:pStyle w:val="Heading3"/>
      </w:pPr>
      <w:r>
        <w:rPr>
          <w:b/>
          <w:bCs/>
          <w:color w:val="E94560"/>
        </w:rPr>
        <w:t xml:space="preserve">VA MST Coordinator</w:t>
      </w:r>
    </w:p>
    <w:p>
      <w:pPr>
        <w:pStyle w:val="ListParagraph"/>
        <w:numPr>
          <w:ilvl w:val="0"/>
          <w:numId w:val="2"/>
        </w:numPr>
      </w:pPr>
      <w:r>
        <w:t xml:space="preserve">Every VA Medical Center has an MST Coordinator</w:t>
      </w:r>
    </w:p>
    <w:p>
      <w:pPr>
        <w:pStyle w:val="ListParagraph"/>
        <w:numPr>
          <w:ilvl w:val="0"/>
          <w:numId w:val="2"/>
        </w:numPr>
      </w:pPr>
      <w:r>
        <w:t xml:space="preserve">Free MST treatment regardless of service-connection status</w:t>
      </w:r>
    </w:p>
    <w:p>
      <w:pPr>
        <w:pStyle w:val="ListParagraph"/>
        <w:numPr>
          <w:ilvl w:val="0"/>
          <w:numId w:val="2"/>
        </w:numPr>
      </w:pPr>
      <w:r>
        <w:t xml:space="preserve">Can help file your claim and connect you to evidence</w:t>
      </w:r>
    </w:p>
    <w:p>
      <w:pPr>
        <w:pStyle w:val="ListParagraph"/>
        <w:numPr>
          <w:ilvl w:val="0"/>
          <w:numId w:val="2"/>
        </w:numPr>
        <w:spacing w:after="240"/>
      </w:pPr>
      <w:r>
        <w:t xml:space="preserve">Find your MST Coordinator: Call your nearest VA Medical Center and ask for the MST Coordinator</w:t>
      </w:r>
    </w:p>
    <w:p>
      <w:pPr>
        <w:pStyle w:val="Heading2"/>
      </w:pPr>
      <w:r>
        <w:rPr>
          <w:b/>
          <w:bCs/>
          <w:color w:val="0F3460"/>
        </w:rPr>
        <w:t xml:space="preserve">Key Points to Remember</w:t>
      </w:r>
    </w:p>
    <w:p>
      <w:pPr>
        <w:pStyle w:val="ListParagraph"/>
        <w:numPr>
          <w:ilvl w:val="0"/>
          <w:numId w:val="2"/>
        </w:numPr>
      </w:pPr>
      <w:r>
        <w:t xml:space="preserve">You do NOT need a police report or criminal conviction</w:t>
      </w:r>
    </w:p>
    <w:p>
      <w:pPr>
        <w:pStyle w:val="ListParagraph"/>
        <w:numPr>
          <w:ilvl w:val="0"/>
          <w:numId w:val="2"/>
        </w:numPr>
      </w:pPr>
      <w:r>
        <w:t xml:space="preserve">You do NOT need to provide graphic details of the assault</w:t>
      </w:r>
    </w:p>
    <w:p>
      <w:pPr>
        <w:pStyle w:val="ListParagraph"/>
        <w:numPr>
          <w:ilvl w:val="0"/>
          <w:numId w:val="2"/>
        </w:numPr>
      </w:pPr>
      <w:r>
        <w:t xml:space="preserve">Behavioral marker evidence is SUFFICIENT to prove MST occurred</w:t>
      </w:r>
    </w:p>
    <w:p>
      <w:pPr>
        <w:pStyle w:val="ListParagraph"/>
        <w:numPr>
          <w:ilvl w:val="0"/>
          <w:numId w:val="2"/>
        </w:numPr>
      </w:pPr>
      <w:r>
        <w:t xml:space="preserve">The VA recognizes that shame prevents many survivors from reporting</w:t>
      </w:r>
    </w:p>
    <w:p>
      <w:pPr>
        <w:pStyle w:val="ListParagraph"/>
        <w:numPr>
          <w:ilvl w:val="0"/>
          <w:numId w:val="2"/>
        </w:numPr>
        <w:spacing w:after="240"/>
      </w:pPr>
      <w:r>
        <w:t xml:space="preserve">MST treatment is available free from VA regardless of your rating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4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2026-04-13T04:30:27.370Z</dcterms:created>
  <dcterms:modified xsi:type="dcterms:W3CDTF">2026-04-13T04:30:27.370Z</dcterms:modified>
</cp:coreProperties>
</file>

<file path=docProps/custom.xml><?xml version="1.0" encoding="utf-8"?>
<Properties xmlns="http://schemas.openxmlformats.org/officeDocument/2006/custom-properties" xmlns:vt="http://schemas.openxmlformats.org/officeDocument/2006/docPropsVTypes"/>
</file>