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Regulatory Quick Reference Card</w:t>
      </w:r>
    </w:p>
    <w:p>
      <w:r>
        <w:t xml:space="preserve">Essential Regulations for VA Disability Claims</w:t>
      </w:r>
    </w:p>
    <w:p>
      <w:r>
        <w:t xml:space="preserve"/>
      </w:r>
    </w:p>
    <w:p>
      <w:pPr>
        <w:pStyle w:val="Heading2"/>
      </w:pPr>
      <w:r>
        <w:t xml:space="preserve">38 CFR 3.304: Service Connection</w:t>
      </w:r>
    </w:p>
    <w:p>
      <w:r>
        <w:t xml:space="preserve">The foundational regulation for all disability claims. Defines what service connection means and the standard for proving it.</w:t>
      </w:r>
    </w:p>
    <w:p>
      <w:r>
        <w:t xml:space="preserve"/>
      </w:r>
    </w:p>
    <w:p>
      <w:r>
        <w:t xml:space="preserve">Three Elements Required for Service Connection:</w:t>
      </w:r>
    </w:p>
    <w:p>
      <w:pPr>
        <w:pStyle w:val="ListParagraph"/>
        <w:numPr>
          <w:ilvl w:val="0"/>
          <w:numId w:val="2"/>
        </w:numPr>
      </w:pPr>
      <w:r>
        <w:t xml:space="preserve">A current medical diagnosis</w:t>
      </w:r>
    </w:p>
    <w:p>
      <w:pPr>
        <w:pStyle w:val="ListParagraph"/>
        <w:numPr>
          <w:ilvl w:val="0"/>
          <w:numId w:val="2"/>
        </w:numPr>
      </w:pPr>
      <w:r>
        <w:t xml:space="preserve">Evidence that a disease or injury occurred in service</w:t>
      </w:r>
    </w:p>
    <w:p>
      <w:pPr>
        <w:pStyle w:val="ListParagraph"/>
        <w:numPr>
          <w:ilvl w:val="0"/>
          <w:numId w:val="2"/>
        </w:numPr>
      </w:pPr>
      <w:r>
        <w:t xml:space="preserve">A medical nexus linking the service event to the current condition</w:t>
      </w:r>
    </w:p>
    <w:p>
      <w:r>
        <w:t xml:space="preserve">Key Principle: VA is required to apply the &amp;#x201C;benefit of the doubt&amp;#x201D; standard. If evidence is in equipoise (balanced), the VA must find in favor of the veteran.</w:t>
      </w:r>
    </w:p>
    <w:p>
      <w:r>
        <w:t xml:space="preserve"/>
      </w:r>
    </w:p>
    <w:p>
      <w:pPr>
        <w:pStyle w:val="Heading2"/>
      </w:pPr>
      <w:r>
        <w:t xml:space="preserve">38 CFR 3.310: Secondary Service Connection</w:t>
      </w:r>
    </w:p>
    <w:p>
      <w:r>
        <w:t xml:space="preserve">A disability that is caused by or aggravated by a service-connected condition is itself service-connected.</w:t>
      </w:r>
    </w:p>
    <w:p>
      <w:r>
        <w:t xml:space="preserve"/>
      </w:r>
    </w:p>
    <w:p>
      <w:r>
        <w:t xml:space="preserve">Requirements:</w:t>
      </w:r>
    </w:p>
    <w:p>
      <w:pPr>
        <w:pStyle w:val="ListParagraph"/>
        <w:numPr>
          <w:ilvl w:val="0"/>
          <w:numId w:val="2"/>
        </w:numPr>
      </w:pPr>
      <w:r>
        <w:t xml:space="preserve">Primary condition must already be service-connected</w:t>
      </w:r>
    </w:p>
    <w:p>
      <w:pPr>
        <w:pStyle w:val="ListParagraph"/>
        <w:numPr>
          <w:ilvl w:val="0"/>
          <w:numId w:val="2"/>
        </w:numPr>
      </w:pPr>
      <w:r>
        <w:t xml:space="preserve">Secondary condition must be caused by or aggravated by the primary condition</w:t>
      </w:r>
    </w:p>
    <w:p>
      <w:pPr>
        <w:pStyle w:val="ListParagraph"/>
        <w:numPr>
          <w:ilvl w:val="0"/>
          <w:numId w:val="2"/>
        </w:numPr>
      </w:pPr>
      <w:r>
        <w:t xml:space="preserve">Medical nexus linking the two conditions</w:t>
      </w:r>
    </w:p>
    <w:p>
      <w:r>
        <w:t xml:space="preserve">Key Point: VA has affirmative duty to develop evidence on secondary claims. The VA examiner must address whether the secondary condition is caused by the primary condition.</w:t>
      </w:r>
    </w:p>
    <w:p>
      <w:r>
        <w:t xml:space="preserve"/>
      </w:r>
    </w:p>
    <w:p>
      <w:pPr>
        <w:pStyle w:val="Heading2"/>
      </w:pPr>
      <w:r>
        <w:t xml:space="preserve">38 CFR 4.15: Total Disability</w:t>
      </w:r>
    </w:p>
    <w:p>
      <w:r>
        <w:t xml:space="preserve">Total disability can be granted at less than 100% rating in two ways:</w:t>
      </w:r>
    </w:p>
    <w:p>
      <w:r>
        <w:t xml:space="preserve"/>
      </w:r>
    </w:p>
    <w:p>
      <w:r>
        <w:t xml:space="preserve">Schedular Total: 100% rating from one condition alone (e.g., 100% rating for bilateral leg amputation)</w:t>
      </w:r>
    </w:p>
    <w:p>
      <w:r>
        <w:t xml:space="preserve">Total Disability Individual Unemployability (TDIU): Combined rating of 60% with one condition rated 40%+, OR combined rating of 70%+. Veteran must demonstrate inability to work due to service-connected disabilities.</w:t>
      </w:r>
    </w:p>
    <w:p>
      <w:r>
        <w:t xml:space="preserve">Key Point: You do not need to be unemployed to claim TDIU, but you must demonstrate inability to obtain gainful employment due to your disabilities.</w:t>
      </w:r>
    </w:p>
    <w:p>
      <w:r>
        <w:t xml:space="preserve"/>
      </w:r>
    </w:p>
    <w:p>
      <w:pPr>
        <w:pStyle w:val="Heading2"/>
      </w:pPr>
      <w:r>
        <w:t xml:space="preserve">38 CFR 3.951 &amp; 3.400: Reduction of Ratings</w:t>
      </w:r>
    </w:p>
    <w:p>
      <w:r>
        <w:t xml:space="preserve">The VA cannot reduce a rating that has been in effect for 20 years. After 5 years, the VA cannot reduce a rating unless evidence is clear and unequivocal that the condition has improved.</w:t>
      </w:r>
    </w:p>
    <w:p>
      <w:r>
        <w:t xml:space="preserve">Key Point: If you have a stable rating for over 5 years, your rating is largely protected.</w:t>
      </w:r>
    </w:p>
    <w:p>
      <w:r>
        <w:t xml:space="preserve"/>
      </w:r>
    </w:p>
    <w:p>
      <w:pPr>
        <w:pStyle w:val="Heading2"/>
      </w:pPr>
      <w:r>
        <w:t xml:space="preserve">38 CFR 4.25 &amp; 4.26: Combined Ratings and Bilateral Factor</w:t>
      </w:r>
    </w:p>
    <w:p>
      <w:r>
        <w:t xml:space="preserve">Combined Ratings Table: The VA does NOT add ratings. It applies the &amp;#x201C;whole-person method.&amp;#x201D;</w:t>
      </w:r>
    </w:p>
    <w:p>
      <w:r>
        <w:t xml:space="preserve">Each disability reduces a percentage of what remains, not of the full 100%.</w:t>
      </w:r>
    </w:p>
    <w:p>
      <w:r>
        <w:t xml:space="preserve"/>
      </w:r>
    </w:p>
    <w:p>
      <w:r>
        <w:t xml:space="preserve">Example: 30% rating leaves 70% capacity. 10% rating removes 10% of remaining 70% = 7%. Final = 63% = 60% (rounded).</w:t>
      </w:r>
    </w:p>
    <w:p>
      <w:r>
        <w:t xml:space="preserve"/>
      </w:r>
    </w:p>
    <w:p>
      <w:r>
        <w:t xml:space="preserve">Bilateral Factor: If you have two separate service-connected disabilities affecting paired body parts (both knees, both shoulders, etc.), add 10% to your combined rating BEFORE rounding.</w:t>
      </w:r>
    </w:p>
    <w:p>
      <w:r>
        <w:t xml:space="preserve">Key Point: The bilateral factor can be the difference between 40% and 50% compensation. If overlooked, file a claim.</w:t>
      </w:r>
    </w:p>
    <w:p>
      <w:r>
        <w:t xml:space="preserve"/>
      </w:r>
    </w:p>
    <w:p>
      <w:pPr>
        <w:pStyle w:val="Heading2"/>
      </w:pPr>
      <w:r>
        <w:t xml:space="preserve">38 CFR 3.309: Presumptive Service Connection</w:t>
      </w:r>
    </w:p>
    <w:p>
      <w:r>
        <w:t xml:space="preserve">For certain conditions, the VA presumes service connection without you having to prove the nexus. No nexus letter needed.</w:t>
      </w:r>
    </w:p>
    <w:p>
      <w:r>
        <w:t xml:space="preserve"/>
      </w:r>
    </w:p>
    <w:p>
      <w:r>
        <w:t xml:space="preserve">Examples:</w:t>
      </w:r>
    </w:p>
    <w:p>
      <w:pPr>
        <w:pStyle w:val="ListParagraph"/>
        <w:numPr>
          <w:ilvl w:val="0"/>
          <w:numId w:val="2"/>
        </w:numPr>
      </w:pPr>
      <w:r>
        <w:t xml:space="preserve">Tinnitus (noise exposure presumption)</w:t>
      </w:r>
    </w:p>
    <w:p>
      <w:pPr>
        <w:pStyle w:val="ListParagraph"/>
        <w:numPr>
          <w:ilvl w:val="0"/>
          <w:numId w:val="2"/>
        </w:numPr>
      </w:pPr>
      <w:r>
        <w:t xml:space="preserve">Hearing loss (noise exposure presumption)</w:t>
      </w:r>
    </w:p>
    <w:p>
      <w:pPr>
        <w:pStyle w:val="ListParagraph"/>
        <w:numPr>
          <w:ilvl w:val="0"/>
          <w:numId w:val="2"/>
        </w:numPr>
      </w:pPr>
      <w:r>
        <w:t xml:space="preserve">Agent Orange conditions (for Vietnam service)</w:t>
      </w:r>
    </w:p>
    <w:p>
      <w:pPr>
        <w:pStyle w:val="ListParagraph"/>
        <w:numPr>
          <w:ilvl w:val="0"/>
          <w:numId w:val="2"/>
        </w:numPr>
      </w:pPr>
      <w:r>
        <w:t xml:space="preserve">Burn pit/burn barrel exposure (OEF/OIF service)</w:t>
      </w:r>
    </w:p>
    <w:p>
      <w:r>
        <w:t xml:space="preserve">Key Point: If your condition is on the presumptive list and you have the required service, the VA cannot deny service connection.</w:t>
      </w:r>
    </w:p>
    <w:p>
      <w:r>
        <w:t xml:space="preserve"/>
      </w:r>
    </w:p>
    <w:p>
      <w:pPr>
        <w:pStyle w:val="Heading2"/>
      </w:pPr>
      <w:r>
        <w:t xml:space="preserve">38 CFR 3.2501-3.2700: AMA Appeals System</w:t>
      </w:r>
    </w:p>
    <w:p>
      <w:r>
        <w:t xml:space="preserve">The Appeals Modernization Act (AMA) created three appeal lanes:</w:t>
      </w:r>
    </w:p>
    <w:p>
      <w:r>
        <w:t xml:space="preserve"/>
      </w:r>
    </w:p>
    <w:p>
      <w:r>
        <w:t xml:space="preserve">Lane 1 - Supplemental Claim (VA Form 20-0995): File with NEW evidence. VA re-adjudicates based on new evidence.</w:t>
      </w:r>
    </w:p>
    <w:p>
      <w:r>
        <w:t xml:space="preserve">Lane 2 - Higher Level of Review (VA Form 20-0996): No new evidence. Senior adjudicator reviews for legal/factual error.</w:t>
      </w:r>
    </w:p>
    <w:p>
      <w:r>
        <w:t xml:space="preserve">Lane 3 - Board of Veterans Appeals (VA Form 10182): Full hearing; can be decided on record, with oral hearing, or by video conference.</w:t>
      </w:r>
    </w:p>
    <w:p>
      <w:r>
        <w:t xml:space="preserve">Key Point: Choose the right lane. If you have new evidence, use Lane 1. If you believe the rater misapplied existing evidence, use Lane 2.</w:t>
      </w:r>
    </w:p>
    <w:p>
      <w:r>
        <w:t xml:space="preserve"/>
      </w:r>
    </w:p>
    <w:p>
      <w:pPr>
        <w:pStyle w:val="Heading2"/>
      </w:pPr>
      <w:r>
        <w:t xml:space="preserve">38 CFR 3.303: Lay Evidence</w:t>
      </w:r>
    </w:p>
    <w:p>
      <w:r>
        <w:t xml:space="preserve">A person competent to observe a fact may establish that fact by lay evidence, even if not a medical professional.</w:t>
      </w:r>
    </w:p>
    <w:p>
      <w:r>
        <w:t xml:space="preserve">Lay evidence can establish in-service occurrence, continuity of symptoms, and functional limitations.</w:t>
      </w:r>
    </w:p>
    <w:p>
      <w:r>
        <w:t xml:space="preserve">Key Case Law:</w:t>
      </w:r>
    </w:p>
    <w:p>
      <w:pPr>
        <w:pStyle w:val="ListParagraph"/>
        <w:numPr>
          <w:ilvl w:val="0"/>
          <w:numId w:val="2"/>
        </w:numPr>
      </w:pPr>
      <w:r>
        <w:t xml:space="preserve">Jandreau v. Nicholson: Lay evidence must be evaluated on its merits</w:t>
      </w:r>
    </w:p>
    <w:p>
      <w:pPr>
        <w:pStyle w:val="ListParagraph"/>
        <w:numPr>
          <w:ilvl w:val="0"/>
          <w:numId w:val="2"/>
        </w:numPr>
      </w:pPr>
      <w:r>
        <w:t xml:space="preserve">Caluza v. Brown: All material evidence must be discussed in rating decisions</w:t>
      </w:r>
    </w:p>
    <w:p>
      <w:r>
        <w:t xml:space="preserve"/>
      </w:r>
    </w:p>
    <w:p>
      <w:pPr>
        <w:pStyle w:val="Heading2"/>
      </w:pPr>
      <w:r>
        <w:t xml:space="preserve">Bilateral Factor Explanation</w:t>
      </w:r>
    </w:p>
    <w:p>
      <w:r>
        <w:t xml:space="preserve">When Bilateral Factor Applies:</w:t>
      </w:r>
    </w:p>
    <w:p>
      <w:pPr>
        <w:pStyle w:val="ListParagraph"/>
        <w:numPr>
          <w:ilvl w:val="0"/>
          <w:numId w:val="2"/>
        </w:numPr>
      </w:pPr>
      <w:r>
        <w:t xml:space="preserve">Two separate service-connected disabilities</w:t>
      </w:r>
    </w:p>
    <w:p>
      <w:pPr>
        <w:pStyle w:val="ListParagraph"/>
        <w:numPr>
          <w:ilvl w:val="0"/>
          <w:numId w:val="2"/>
        </w:numPr>
      </w:pPr>
      <w:r>
        <w:t xml:space="preserve">Affecting paired body parts (left-right, bilateral)</w:t>
      </w:r>
    </w:p>
    <w:p>
      <w:pPr>
        <w:pStyle w:val="ListParagraph"/>
        <w:numPr>
          <w:ilvl w:val="0"/>
          <w:numId w:val="2"/>
        </w:numPr>
      </w:pPr>
      <w:r>
        <w:t xml:space="preserve">Each rated 10% or higher</w:t>
      </w:r>
    </w:p>
    <w:p>
      <w:r>
        <w:t xml:space="preserve"/>
      </w:r>
    </w:p>
    <w:p>
      <w:r>
        <w:t xml:space="preserve">Application: Add 10% to your combined rating BEFORE rounding.</w:t>
      </w:r>
    </w:p>
    <w:p>
      <w:r>
        <w:t xml:space="preserve">Example: 30% left knee + 20% right shoulder = 44% combined + 10% bilateral = 54% (no rounding needed). This can push you from 40% to 60%.</w:t>
      </w:r>
    </w:p>
    <w:p>
      <w:r>
        <w:t xml:space="preserve"/>
      </w:r>
    </w:p>
    <w:p>
      <w:pPr>
        <w:pStyle w:val="Heading2"/>
      </w:pPr>
      <w:r>
        <w:t xml:space="preserve">Combined Ratings Table Methodology</w:t>
      </w:r>
    </w:p>
    <w:p>
      <w:r>
        <w:t xml:space="preserve">The Combined Ratings Table uses the &amp;#x201C;whole-person method,&amp;#x201D; not addition.</w:t>
      </w:r>
    </w:p>
    <w:p>
      <w:r>
        <w:t xml:space="preserve"/>
      </w:r>
    </w:p>
    <w:p>
      <w:r>
        <w:t xml:space="preserve">Steps:</w:t>
      </w:r>
    </w:p>
    <w:p>
      <w:pPr>
        <w:pStyle w:val="ListParagraph"/>
        <w:numPr>
          <w:ilvl w:val="0"/>
          <w:numId w:val="2"/>
        </w:numPr>
      </w:pPr>
      <w:r>
        <w:t xml:space="preserve">1. Find your highest rating on the vertical axis</w:t>
      </w:r>
    </w:p>
    <w:p>
      <w:pPr>
        <w:pStyle w:val="ListParagraph"/>
        <w:numPr>
          <w:ilvl w:val="0"/>
          <w:numId w:val="2"/>
        </w:numPr>
      </w:pPr>
      <w:r>
        <w:t xml:space="preserve">2. Find your second-highest rating on the horizontal axis</w:t>
      </w:r>
    </w:p>
    <w:p>
      <w:pPr>
        <w:pStyle w:val="ListParagraph"/>
        <w:numPr>
          <w:ilvl w:val="0"/>
          <w:numId w:val="2"/>
        </w:numPr>
      </w:pPr>
      <w:r>
        <w:t xml:space="preserve">3. Find the intersection: this is your combined rating for those two conditions</w:t>
      </w:r>
    </w:p>
    <w:p>
      <w:pPr>
        <w:pStyle w:val="ListParagraph"/>
        <w:numPr>
          <w:ilvl w:val="0"/>
          <w:numId w:val="2"/>
        </w:numPr>
      </w:pPr>
      <w:r>
        <w:t xml:space="preserve">4. Repeat with the next condition (use combined rating as the &amp;#x201C;highest&amp;#x201D; for the next row)</w:t>
      </w:r>
    </w:p>
    <w:p>
      <w:pPr>
        <w:pStyle w:val="ListParagraph"/>
        <w:numPr>
          <w:ilvl w:val="0"/>
          <w:numId w:val="2"/>
        </w:numPr>
      </w:pPr>
      <w:r>
        <w:t xml:space="preserve">5. Round final result to nearest 10%</w:t>
      </w:r>
    </w:p>
    <w:p>
      <w:r>
        <w:t xml:space="preserve">Key: 45% rounds to 50% (triggers 50% compensation threshold). 44% rounds to 40% (significant drop in payment).</w:t>
      </w:r>
    </w:p>
    <w:p>
      <w:r>
        <w:t xml:space="preserve"/>
      </w:r>
    </w:p>
    <w:p>
      <w:r>
        <w:t xml:space="preserve"/>
      </w:r>
    </w:p>
    <w:p>
      <w:r>
        <w:t xml:space="preserve">___________________________________________________________________</w:t>
      </w:r>
    </w:p>
    <w:p>
      <w:r>
        <w:t xml:space="preserve"/>
      </w:r>
    </w:p>
    <w:p>
      <w:r>
        <w:t xml:space="preserve">This is a quick reference only. Always verify current regulations at www.ecfr.gov. Consult a VA-accredited representative for individual guidance.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2026-04-14T00:05:13.777Z</dcterms:created>
  <dcterms:modified xsi:type="dcterms:W3CDTF">2026-04-14T00:05:13.777Z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