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jc w:val="center"/>
      </w:pPr>
      <w:r>
        <w:t xml:space="preserve">VA Claims for Guard &amp; Reserve — Master Action Checklist</w:t>
      </w:r>
    </w:p>
    <w:p>
      <w:pPr>
        <w:spacing w:after="300"/>
        <w:jc w:val="center"/>
      </w:pPr>
      <w:r>
        <w:t xml:space="preserve">FWD Assist HQ — Complete Toolkit Reference</w:t>
      </w:r>
    </w:p>
    <w:p>
      <w:pPr>
        <w:spacing w:after="300"/>
      </w:pPr>
    </w:p>
    <w:p>
      <w:pPr>
        <w:pStyle w:val="Heading2"/>
        <w:spacing w:after="100" w:before="200"/>
        <w:jc w:val="left"/>
      </w:pPr>
      <w:r>
        <w:t xml:space="preserve">Chapter 1: Veteran Status &amp; Duty Status</w:t>
      </w:r>
    </w:p>
    <w:p>
      <w:pPr>
        <w:spacing w:after="100" w:line="360"/>
      </w:pPr>
      <w:r>
        <w:t xml:space="preserve">Determine which veteran status pathway applies (20-year, Title 10, training disability)</w:t>
      </w:r>
    </w:p>
    <w:p>
      <w:pPr>
        <w:spacing w:after="100" w:line="360"/>
      </w:pPr>
      <w:r>
        <w:t xml:space="preserve">Obtain DD-214 for all active duty periods</w:t>
      </w:r>
    </w:p>
    <w:p>
      <w:pPr>
        <w:spacing w:after="100" w:line="360"/>
      </w:pPr>
      <w:r>
        <w:t xml:space="preserve">Obtain NGB-22 for Guard service</w:t>
      </w:r>
    </w:p>
    <w:p>
      <w:pPr>
        <w:spacing w:after="100" w:line="360"/>
      </w:pPr>
      <w:r>
        <w:t xml:space="preserve">Gather all activation orders</w:t>
      </w:r>
    </w:p>
    <w:p>
      <w:pPr>
        <w:spacing w:after="100" w:line="360"/>
      </w:pPr>
      <w:r>
        <w:t xml:space="preserve">Create duty status timeline for every service period</w:t>
      </w:r>
    </w:p>
    <w:p>
      <w:pPr>
        <w:spacing w:after="100" w:line="360"/>
      </w:pPr>
      <w:r>
        <w:t xml:space="preserve">Verify character of discharge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2: Duty Status Types</w:t>
      </w:r>
    </w:p>
    <w:p>
      <w:pPr>
        <w:spacing w:after="100" w:line="360"/>
      </w:pPr>
      <w:r>
        <w:t xml:space="preserve">Read the authority line on every set of orders</w:t>
      </w:r>
    </w:p>
    <w:p>
      <w:pPr>
        <w:spacing w:after="100" w:line="360"/>
      </w:pPr>
      <w:r>
        <w:t xml:space="preserve">Classify each period: Title 10, ADT, IDT, 502(f), SAD, AGR</w:t>
      </w:r>
    </w:p>
    <w:p>
      <w:pPr>
        <w:spacing w:after="100" w:line="360"/>
      </w:pPr>
      <w:r>
        <w:t xml:space="preserve">Determine VA jurisdiction for each period</w:t>
      </w:r>
    </w:p>
    <w:p>
      <w:pPr>
        <w:spacing w:after="100" w:line="360"/>
      </w:pPr>
      <w:r>
        <w:t xml:space="preserve">Request line-of-duty reports for ADT/IDT injuries</w:t>
      </w:r>
    </w:p>
    <w:p>
      <w:pPr>
        <w:spacing w:after="100" w:line="360"/>
      </w:pPr>
      <w:r>
        <w:t xml:space="preserve">Research 502(f) precedent if applicable</w:t>
      </w:r>
    </w:p>
    <w:p>
      <w:pPr>
        <w:spacing w:after="100" w:line="360"/>
      </w:pPr>
      <w:r>
        <w:t xml:space="preserve">Create master service period spreadsheet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3: Filing Your Claim</w:t>
      </w:r>
    </w:p>
    <w:p>
      <w:pPr>
        <w:spacing w:after="100" w:line="360"/>
      </w:pPr>
      <w:r>
        <w:t xml:space="preserve">File Intent to File (VA Form 21-0966) TODAY</w:t>
      </w:r>
    </w:p>
    <w:p>
      <w:pPr>
        <w:spacing w:after="100" w:line="360"/>
      </w:pPr>
      <w:r>
        <w:t xml:space="preserve">Complete VA Form 21-526EZ with specific duty status details</w:t>
      </w:r>
    </w:p>
    <w:p>
      <w:pPr>
        <w:spacing w:after="100" w:line="360"/>
      </w:pPr>
      <w:r>
        <w:t xml:space="preserve">Write service history narrative (attach to claim)</w:t>
      </w:r>
    </w:p>
    <w:p>
      <w:pPr>
        <w:spacing w:after="100" w:line="360"/>
      </w:pPr>
      <w:r>
        <w:t xml:space="preserve">Attach all activation orders and discharge documents</w:t>
      </w:r>
    </w:p>
    <w:p>
      <w:pPr>
        <w:spacing w:after="100" w:line="360"/>
      </w:pPr>
      <w:r>
        <w:t xml:space="preserve">Include nexus letters for each condition</w:t>
      </w:r>
    </w:p>
    <w:p>
      <w:pPr>
        <w:spacing w:after="100" w:line="360"/>
      </w:pPr>
      <w:r>
        <w:t xml:space="preserve">Submit through VA.gov for fastest processing</w:t>
      </w:r>
    </w:p>
    <w:p>
      <w:pPr>
        <w:spacing w:after="100" w:line="360"/>
      </w:pPr>
      <w:r>
        <w:t xml:space="preserve">Save confirmation with claim number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4: Common Conditions</w:t>
      </w:r>
    </w:p>
    <w:p>
      <w:pPr>
        <w:spacing w:after="100" w:line="360"/>
      </w:pPr>
      <w:r>
        <w:t xml:space="preserve">Identify all conditions with in-service documentation</w:t>
      </w:r>
    </w:p>
    <w:p>
      <w:pPr>
        <w:spacing w:after="100" w:line="360"/>
      </w:pPr>
      <w:r>
        <w:t xml:space="preserve">Gather service treatment records for each condition</w:t>
      </w:r>
    </w:p>
    <w:p>
      <w:pPr>
        <w:spacing w:after="100" w:line="360"/>
      </w:pPr>
      <w:r>
        <w:t xml:space="preserve">Obtain current diagnosis for each condition</w:t>
      </w:r>
    </w:p>
    <w:p>
      <w:pPr>
        <w:spacing w:after="100" w:line="360"/>
      </w:pPr>
      <w:r>
        <w:t xml:space="preserve">Get nexus letter connecting each condition to qualifying service</w:t>
      </w:r>
    </w:p>
    <w:p>
      <w:pPr>
        <w:spacing w:after="100" w:line="360"/>
      </w:pPr>
      <w:r>
        <w:t xml:space="preserve">Document secondary conditions</w:t>
      </w:r>
    </w:p>
    <w:p>
      <w:pPr>
        <w:spacing w:after="100" w:line="360"/>
      </w:pPr>
      <w:r>
        <w:t xml:space="preserve">Check PACT Act presumptive eligibility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5: C&amp;P Exam Preparation</w:t>
      </w:r>
    </w:p>
    <w:p>
      <w:pPr>
        <w:spacing w:after="100" w:line="360"/>
      </w:pPr>
      <w:r>
        <w:t xml:space="preserve">Prepare one-page condition summary for examiner</w:t>
      </w:r>
    </w:p>
    <w:p>
      <w:pPr>
        <w:spacing w:after="100" w:line="360"/>
      </w:pPr>
      <w:r>
        <w:t xml:space="preserve">Bring activation orders to exam</w:t>
      </w:r>
    </w:p>
    <w:p>
      <w:pPr>
        <w:spacing w:after="100" w:line="360"/>
      </w:pPr>
      <w:r>
        <w:t xml:space="preserve">Bring DD-214 and NGB-22</w:t>
      </w:r>
    </w:p>
    <w:p>
      <w:pPr>
        <w:spacing w:after="100" w:line="360"/>
      </w:pPr>
      <w:r>
        <w:t xml:space="preserve">Document worst day symptoms</w:t>
      </w:r>
    </w:p>
    <w:p>
      <w:pPr>
        <w:spacing w:after="100" w:line="360"/>
      </w:pPr>
      <w:r>
        <w:t xml:space="preserve">Prepare duty status explanation in plain language</w:t>
      </w:r>
    </w:p>
    <w:p>
      <w:pPr>
        <w:spacing w:after="100" w:line="360"/>
      </w:pPr>
      <w:r>
        <w:t xml:space="preserve">Review exam report after decision</w:t>
      </w:r>
    </w:p>
    <w:p>
      <w:pPr>
        <w:spacing w:after="100" w:line="360"/>
      </w:pPr>
      <w:r>
        <w:t xml:space="preserve">Challenge inadequate exam if necessary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6: Appeals Process</w:t>
      </w:r>
    </w:p>
    <w:p>
      <w:pPr>
        <w:spacing w:after="100" w:line="360"/>
      </w:pPr>
      <w:r>
        <w:t xml:space="preserve">Read denial letter completely — identify specific reason</w:t>
      </w:r>
    </w:p>
    <w:p>
      <w:pPr>
        <w:spacing w:after="100" w:line="360"/>
      </w:pPr>
      <w:r>
        <w:t xml:space="preserve">Match denial reason to correct appeal lane</w:t>
      </w:r>
    </w:p>
    <w:p>
      <w:pPr>
        <w:spacing w:after="100" w:line="360"/>
      </w:pPr>
      <w:r>
        <w:t xml:space="preserve">Gather new evidence (if Supplemental Claim)</w:t>
      </w:r>
    </w:p>
    <w:p>
      <w:pPr>
        <w:spacing w:after="100" w:line="360"/>
      </w:pPr>
      <w:r>
        <w:t xml:space="preserve">File appeal within one year of decision</w:t>
      </w:r>
    </w:p>
    <w:p>
      <w:pPr>
        <w:spacing w:after="100" w:line="360"/>
      </w:pPr>
      <w:r>
        <w:t xml:space="preserve">Request informal conference (if Higher-Level Review)</w:t>
      </w:r>
    </w:p>
    <w:p>
      <w:pPr>
        <w:spacing w:after="100" w:line="360"/>
      </w:pPr>
      <w:r>
        <w:t xml:space="preserve">Consider legal representation for BVA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7: IDES/Medical Retirement</w:t>
      </w:r>
    </w:p>
    <w:p>
      <w:pPr>
        <w:spacing w:after="100" w:line="360"/>
      </w:pPr>
      <w:r>
        <w:t xml:space="preserve">Request PEBLO assignment immediately after MEB referral</w:t>
      </w:r>
    </w:p>
    <w:p>
      <w:pPr>
        <w:spacing w:after="100" w:line="360"/>
      </w:pPr>
      <w:r>
        <w:t xml:space="preserve">Review MEB findings — verify ALL conditions listed</w:t>
      </w:r>
    </w:p>
    <w:p>
      <w:pPr>
        <w:spacing w:after="100" w:line="360"/>
      </w:pPr>
      <w:r>
        <w:t xml:space="preserve">Submit rebuttal within 10 business days if needed</w:t>
      </w:r>
    </w:p>
    <w:p>
      <w:pPr>
        <w:spacing w:after="100" w:line="360"/>
      </w:pPr>
      <w:r>
        <w:t xml:space="preserve">Plan post-IDES VA claims for conditions not addressed</w:t>
      </w:r>
    </w:p>
    <w:p>
      <w:pPr>
        <w:spacing w:after="100" w:line="360"/>
      </w:pPr>
      <w:r>
        <w:t xml:space="preserve">Understand retirement vs separation outcomes</w:t>
      </w:r>
    </w:p>
    <w:p>
      <w:pPr>
        <w:spacing w:after="200"/>
      </w:pPr>
    </w:p>
    <w:p>
      <w:pPr>
        <w:pStyle w:val="Heading2"/>
        <w:spacing w:after="100" w:before="200"/>
        <w:jc w:val="left"/>
      </w:pPr>
      <w:r>
        <w:t xml:space="preserve">Chapter 8: Benefits Beyond the Rating</w:t>
      </w:r>
    </w:p>
    <w:p>
      <w:pPr>
        <w:spacing w:after="100" w:line="360"/>
      </w:pPr>
      <w:r>
        <w:t xml:space="preserve">Enroll in VA healthcare</w:t>
      </w:r>
    </w:p>
    <w:p>
      <w:pPr>
        <w:spacing w:after="100" w:line="360"/>
      </w:pPr>
      <w:r>
        <w:t xml:space="preserve">Apply for VA home loan Certificate of Eligibility</w:t>
      </w:r>
    </w:p>
    <w:p>
      <w:pPr>
        <w:spacing w:after="100" w:line="360"/>
      </w:pPr>
      <w:r>
        <w:t xml:space="preserve">Research state benefits (property tax, income tax exemptions)</w:t>
      </w:r>
    </w:p>
    <w:p>
      <w:pPr>
        <w:spacing w:after="100" w:line="360"/>
      </w:pPr>
      <w:r>
        <w:t xml:space="preserve">Apply for education benefits (GI Bill or VR&amp;E)</w:t>
      </w:r>
    </w:p>
    <w:p>
      <w:pPr>
        <w:spacing w:after="100" w:line="360"/>
      </w:pPr>
      <w:r>
        <w:t xml:space="preserve">Add dependents to VA record</w:t>
      </w:r>
    </w:p>
    <w:p>
      <w:pPr>
        <w:spacing w:after="100" w:line="360"/>
      </w:pPr>
      <w:r>
        <w:t xml:space="preserve">Check SMC eligibility</w:t>
      </w:r>
    </w:p>
    <w:p>
      <w:pPr>
        <w:spacing w:after="100" w:line="360"/>
      </w:pPr>
      <w:r>
        <w:t xml:space="preserve">File for CHAMPVA/DEA if P&amp;T 100%</w:t>
      </w:r>
    </w:p>
    <w:p>
      <w:pPr>
        <w:spacing w:after="300"/>
      </w:pPr>
    </w:p>
    <w:p>
      <w:pPr>
        <w:pStyle w:val="Heading2"/>
        <w:spacing w:after="100" w:before="200"/>
        <w:jc w:val="left"/>
      </w:pPr>
      <w:r>
        <w:t xml:space="preserve">Key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600" w:hRule="atLeast"/>
        </w:trPr>
        <w:tc>
          <w:tcPr>
            <w:tcW w:type="dxa" w:w="3200"/>
            <w:shd w:fill="0F3460" w:val="clear"/>
          </w:tcPr>
          <w:p>
            <w:pPr>
              <w:jc w:val="center"/>
            </w:pPr>
            <w:r>
              <w:t xml:space="preserve">Resource</w:t>
            </w:r>
          </w:p>
        </w:tc>
        <w:tc>
          <w:tcPr>
            <w:tcW w:type="dxa" w:w="6160"/>
            <w:shd w:fill="0F3460" w:val="clear"/>
          </w:tcPr>
          <w:p>
            <w:pPr>
              <w:jc w:val="center"/>
            </w:pPr>
            <w:r>
              <w:t xml:space="preserve">Contact</w:t>
            </w:r>
          </w:p>
        </w:tc>
      </w:tr>
      <w:tr>
        <w:trPr>
          <w:trHeight w:val="400" w:hRule="atLeast"/>
        </w:trPr>
        <w:tc>
          <w:tcPr>
            <w:tcW w:type="dxa" w:w="3200"/>
          </w:tcPr>
          <w:p>
            <w:r>
              <w:t xml:space="preserve">VA Hotline</w:t>
            </w:r>
          </w:p>
        </w:tc>
        <w:tc>
          <w:tcPr>
            <w:tcW w:type="dxa" w:w="6160"/>
          </w:tcPr>
          <w:p>
            <w:r>
              <w:t xml:space="preserve">1-800-827-1000</w:t>
            </w:r>
          </w:p>
        </w:tc>
      </w:tr>
      <w:tr>
        <w:trPr>
          <w:trHeight w:val="400" w:hRule="atLeast"/>
        </w:trPr>
        <w:tc>
          <w:tcPr>
            <w:tcW w:type="dxa" w:w="3200"/>
          </w:tcPr>
          <w:p>
            <w:r>
              <w:t xml:space="preserve">Veterans Crisis Line</w:t>
            </w:r>
          </w:p>
        </w:tc>
        <w:tc>
          <w:tcPr>
            <w:tcW w:type="dxa" w:w="6160"/>
          </w:tcPr>
          <w:p>
            <w:r>
              <w:t xml:space="preserve">988 (press 1)</w:t>
            </w:r>
          </w:p>
        </w:tc>
      </w:tr>
      <w:tr>
        <w:trPr>
          <w:trHeight w:val="400" w:hRule="atLeast"/>
        </w:trPr>
        <w:tc>
          <w:tcPr>
            <w:tcW w:type="dxa" w:w="3200"/>
          </w:tcPr>
          <w:p>
            <w:r>
              <w:t xml:space="preserve">NPRC</w:t>
            </w:r>
          </w:p>
        </w:tc>
        <w:tc>
          <w:tcPr>
            <w:tcW w:type="dxa" w:w="6160"/>
          </w:tcPr>
          <w:p>
            <w:r>
              <w:t xml:space="preserve">1 Archives Drive, St. Louis, MO 63138</w:t>
            </w:r>
          </w:p>
        </w:tc>
      </w:tr>
      <w:tr>
        <w:trPr>
          <w:trHeight w:val="400" w:hRule="atLeast"/>
        </w:trPr>
        <w:tc>
          <w:tcPr>
            <w:tcW w:type="dxa" w:w="3200"/>
          </w:tcPr>
          <w:p>
            <w:r>
              <w:t xml:space="preserve">Find VSO</w:t>
            </w:r>
          </w:p>
        </w:tc>
        <w:tc>
          <w:tcPr>
            <w:tcW w:type="dxa" w:w="6160"/>
          </w:tcPr>
          <w:p>
            <w:r>
              <w:t xml:space="preserve">VA.gov/find-locations</w:t>
            </w:r>
          </w:p>
        </w:tc>
      </w:tr>
      <w:tr>
        <w:trPr>
          <w:trHeight w:val="400" w:hRule="atLeast"/>
        </w:trPr>
        <w:tc>
          <w:tcPr>
            <w:tcW w:type="dxa" w:w="3200"/>
          </w:tcPr>
          <w:p>
            <w:r>
              <w:t xml:space="preserve">Verify Accreditation</w:t>
            </w:r>
          </w:p>
        </w:tc>
        <w:tc>
          <w:tcPr>
            <w:tcW w:type="dxa" w:w="6160"/>
          </w:tcPr>
          <w:p>
            <w:r>
              <w:t xml:space="preserve">VA.gov/ogc/apps/accreditation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2026-04-13T07:43:18.089Z</dcterms:created>
  <dcterms:modified xsi:type="dcterms:W3CDTF">2026-04-13T07:43:18.089Z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