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jc w:val="center"/>
      </w:pPr>
      <w:r>
        <w:rPr>
          <w:b/>
          <w:bCs/>
          <w:color w:val="1A1A2E"/>
          <w:sz w:val="48"/>
          <w:szCs w:val="48"/>
        </w:rPr>
        <w:t xml:space="preserve">VA Musculoskeletal Diagnostic Code Reference</w:t>
      </w:r>
    </w:p>
    <w:p>
      <w:r>
        <w:t xml:space="preserve"/>
      </w:r>
    </w:p>
    <w:p>
      <w:pPr>
        <w:jc w:val="center"/>
      </w:pPr>
      <w:r>
        <w:rPr>
          <w:color w:val="0F3460"/>
          <w:sz w:val="28"/>
          <w:szCs w:val="28"/>
        </w:rPr>
        <w:t xml:space="preserve">Complete Rating Criteria Guide for MSK Conditions</w:t>
      </w:r>
    </w:p>
    <w:p>
      <w:r>
        <w:t xml:space="preserve"/>
      </w:r>
    </w:p>
    <w:p>
      <w:r>
        <w:t xml:space="preserve"/>
      </w:r>
    </w:p>
    <w:p>
      <w:pPr>
        <w:jc w:val="center"/>
      </w:pPr>
      <w:r>
        <w:rPr>
          <w:color w:val="E94560"/>
          <w:sz w:val="24"/>
          <w:szCs w:val="24"/>
        </w:rPr>
        <w:t xml:space="preserve">FWD Assist HQ</w:t>
      </w:r>
    </w:p>
    <w:p>
      <w:r>
        <w:br w:type="page"/>
      </w:r>
    </w:p>
    <w:p>
      <w:pPr>
        <w:pStyle w:val="Heading1"/>
      </w:pPr>
      <w:r>
        <w:t xml:space="preserve">Lumbosacral Spine (DC 5235-5243)</w:t>
      </w:r>
    </w:p>
    <w:p>
      <w:r>
        <w:t xml:space="preserve">Intervertebral Disc Syndrome (IVDS) by Episode Frequency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Episode Frequency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Rating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1-2 episodes per year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10%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2-4 episodes per year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20%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4-6 episodes per year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30%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6+ episodes per year (under 12 weeks total)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40%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12+ weeks per year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50%</w:t>
            </w:r>
          </w:p>
        </w:tc>
      </w:tr>
    </w:tbl>
    <w:p>
      <w:r>
        <w:t xml:space="preserve"/>
      </w:r>
    </w:p>
    <w:p>
      <w:r>
        <w:t xml:space="preserve">Range of Motion-Based Ratings (Lumbar Spine Forward Flexion)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Forward Flexion (Degrees)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Rating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&gt;60°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10%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&gt;30° to 60°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20%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≤30°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40%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Favorable Ankylosis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40%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Unfavorable Ankylosis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50%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Entire Spine Fusion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100%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Cervical Spine (DC 5220-5227)</w:t>
      </w:r>
    </w:p>
    <w:p>
      <w:r>
        <w:t xml:space="preserve">Rating Criteria by Forward Flexion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Forward Flexion (Degrees)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Rating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&gt;30°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10%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&gt;15° to 30°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20%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≤15°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30%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Knee (DC 5256-5263)</w:t>
      </w:r>
    </w:p>
    <w:p>
      <w:r>
        <w:t xml:space="preserve">Flexion Limitation Ratings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Flexion Limitation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Rating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&gt;60°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0%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45° to 60°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10%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30° to 45°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20%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15° to 30°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30%</w:t>
            </w:r>
          </w:p>
        </w:tc>
      </w:tr>
    </w:tbl>
    <w:p>
      <w:r>
        <w:t xml:space="preserve"/>
      </w:r>
    </w:p>
    <w:p>
      <w:r>
        <w:t xml:space="preserve">Extension Limitation Ratings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Extension Limitation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Rating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5° or less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0%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10°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10%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15°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20%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20°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30%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30°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40%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45°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50%</w:t>
            </w:r>
          </w:p>
        </w:tc>
      </w:tr>
    </w:tbl>
    <w:p>
      <w:r>
        <w:t xml:space="preserve"/>
      </w:r>
    </w:p>
    <w:p>
      <w:r>
        <w:t xml:space="preserve">Instability Ratings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Instability Type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Rating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Slight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10%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Moderate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20%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Severe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30%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Shoulder (DC 5200-5203)</w:t>
      </w:r>
    </w:p>
    <w:p>
      <w:r>
        <w:t xml:space="preserve">Arm Motion Limitation Ratings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Arm Motion Limitation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Rating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Limited to shoulder level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20%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Limited to midway between shoulder and body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30%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Limited to 25° from side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40%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Hip (DC 5250-5255)</w:t>
      </w:r>
    </w:p>
    <w:p>
      <w:r>
        <w:t xml:space="preserve">Flexion Limitation Ratings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Flexion Limitation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Rating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&gt;45°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10%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30° to 45°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20%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20° to 30°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30%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10° to 20°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40%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Ankle (DC 5264-5272)</w:t>
      </w:r>
    </w:p>
    <w:p>
      <w:r>
        <w:t xml:space="preserve">Motion Limitation Ratings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Motion Limitation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Rating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Moderate limitation of ankle/foot motion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10%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Marked limitation of ankle/foot motion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20%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Elbow (DC 5204-5206)</w:t>
      </w:r>
    </w:p>
    <w:p>
      <w:r>
        <w:t xml:space="preserve">Flexion Limitation Ratings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Flexion Limitation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Rating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&gt;100°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10%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90° to 100°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20%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70° to 90°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30%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55° to 70°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40%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45° or less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50%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Wrist (DC 5207-5211)</w:t>
      </w:r>
    </w:p>
    <w:p>
      <w:r>
        <w:t xml:space="preserve">Motion Limitation Ratings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Limitation Type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Rating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Dorsiflexion limited to &lt;15°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10%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Palmar flexion limited in line with forearm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10%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Hand/Fingers (DC 5212-5219)</w:t>
      </w:r>
    </w:p>
    <w:p>
      <w:r>
        <w:t xml:space="preserve">Finger Ankylosis Ratings</w:t>
      </w:r>
    </w:p>
    <w:p>
      <w:r>
        <w:t xml:space="preserve">Note: Specific ratings for each finger position vary by amputation level and function. Consult the Rating Schedule for precise codes.</w:t>
      </w:r>
    </w:p>
    <w:p>
      <w:r>
        <w:br w:type="page"/>
      </w:r>
    </w:p>
    <w:p>
      <w:pPr>
        <w:pStyle w:val="Heading1"/>
      </w:pPr>
      <w:r>
        <w:t xml:space="preserve">Key Case Law References</w:t>
      </w:r>
    </w:p>
    <w:p>
      <w:pPr>
        <w:pStyle w:val="Heading2"/>
      </w:pPr>
      <w:r>
        <w:t xml:space="preserve">Correia v. McDonald (2016)</w:t>
      </w:r>
    </w:p>
    <w:p>
      <w:r>
        <w:t xml:space="preserve">Established that C&amp;P exams must include measurements in degrees (active ROM, passive ROM, weight-bearing, non-weight-bearing) documented with a goniometer to be adequate for rating purposes.</w:t>
      </w:r>
    </w:p>
    <w:p>
      <w:r>
        <w:t xml:space="preserve"/>
      </w:r>
    </w:p>
    <w:p>
      <w:pPr>
        <w:pStyle w:val="Heading2"/>
      </w:pPr>
      <w:r>
        <w:t xml:space="preserve">Sharp v. Shulkin (2017)</w:t>
      </w:r>
    </w:p>
    <w:p>
      <w:r>
        <w:t xml:space="preserve">Established that C&amp;P exams must document functional limitations caused by flare-ups, including frequency, duration, and functional loss during episodes, not just measurements at time of exam.</w:t>
      </w:r>
    </w:p>
    <w:p>
      <w:r>
        <w:t xml:space="preserve"/>
      </w:r>
    </w:p>
    <w:p>
      <w:pPr>
        <w:pStyle w:val="Heading2"/>
      </w:pPr>
      <w:r>
        <w:t xml:space="preserve">Ingram v. Collins</w:t>
      </w:r>
    </w:p>
    <w:p>
      <w:r>
        <w:t xml:space="preserve">Addressed secondary condition nexus requirements and the need for clear documentation of how one condition causes or aggravates another.</w:t>
      </w:r>
    </w:p>
    <w:p>
      <w:r>
        <w:t xml:space="preserve"/>
      </w:r>
    </w:p>
    <w:p>
      <w:r>
        <w:rPr>
          <w:b/>
          <w:bCs/>
        </w:rPr>
        <w:t xml:space="preserve">Combined Ratings Method</w:t>
      </w:r>
    </w:p>
    <w:p>
      <w:r>
        <w:t xml:space="preserve">When multiple joints are rated, VA uses the Combined Ratings Table to calculate the overall disability rating. This is not a simple mathematical average; rather, it begins with the highest rating and applies the remaining percentage to the remaining points available.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0F346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1A1A2E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2026-04-13T06:10:26.807Z</dcterms:created>
  <dcterms:modified xsi:type="dcterms:W3CDTF">2026-04-13T06:10:26.807Z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