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E94560"/>
          <w:sz w:val="64"/>
          <w:szCs w:val="64"/>
        </w:rPr>
        <w:t xml:space="preserve">Evidence and Filing Strategy Kit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Reaching 100% disability requires strategic evidence selection and filing sequencing.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VA's rating system rewards veterans who present evidence in right order with maximum impact.</w:t>
      </w:r>
    </w:p>
    <w:p>
      <w:pPr>
        <w:spacing w:after="80" w:before="80"/>
      </w:pPr>
      <w:r>
        <w:t xml:space="preserve"/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What Evidence VA Values Most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Not all evidence carries equal weight. Understanding evidence hierarchy helps prioritize.</w:t>
      </w:r>
    </w:p>
    <w:p>
      <w:pPr>
        <w:spacing w:after="80" w:before="80"/>
      </w:pPr>
      <w:r>
        <w:t xml:space="preserve"/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Tier 1: Recent Medical Records from Treating Providers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VA prioritizes evidence from providers who have examined and treated you repeatedly.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Ongoing treatment notes showing consistency of symptoms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Medical records dated within 12 months of filing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Notes documenting functional limitations and impact on daily activities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Diagnostic findings: imaging, lab results, clinical assessments</w:t>
      </w:r>
    </w:p>
    <w:p>
      <w:pPr>
        <w:spacing w:after="80" w:before="80"/>
      </w:pPr>
      <w:r>
        <w:t xml:space="preserve"/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These records provide objective foundation for ratings without requiring secondary opinion.</w:t>
      </w:r>
    </w:p>
    <w:p>
      <w:pPr>
        <w:spacing w:after="80" w:before="80"/>
      </w:pPr>
      <w:r>
        <w:t xml:space="preserve"/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Tier 2: Nexus Letters and Medical Opinions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Nexus letters explain relationship between service and current conditions.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IMO (Independent Medical Opinion): physician explains condition resulted from service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Detailed Buddy Statements: non-medical but credible corroboration of symptoms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Provider narrative: treating physician provides statement addressing VA questions</w:t>
      </w:r>
    </w:p>
    <w:p>
      <w:pPr>
        <w:spacing w:after="80" w:before="80"/>
      </w:pPr>
      <w:r>
        <w:t xml:space="preserve"/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Tier 3: Decision-Based Questionnaires (DBQs)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VA's own forms, completed by your provider, carry authority with VA raters.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Available for specific conditions (PTSD, back, knees, hearing, etc.)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Completion signals provider understanding of VA criteria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Use VA Form 21-0960 series whenever available for your conditions</w:t>
      </w:r>
    </w:p>
    <w:p>
      <w:pPr>
        <w:spacing w:after="80" w:before="80"/>
      </w:pPr>
      <w:r>
        <w:t xml:space="preserve"/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Building the Complete Evidence Package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Strategic evidence package assembly follows systematic sequence.</w:t>
      </w:r>
    </w:p>
    <w:p>
      <w:pPr>
        <w:spacing w:after="80" w:before="80"/>
      </w:pPr>
      <w:r>
        <w:t xml:space="preserve"/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Phase 1: Medical Documentation Baseline (30 days)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Request complete medical records from all treating providers (VA, civilian, military)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Identify most complete and recent treatment records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Highlight records showing symptom progression or worsening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Create timeline showing treatment history and service connection progression</w:t>
      </w:r>
    </w:p>
    <w:p>
      <w:pPr>
        <w:spacing w:after="80" w:before="80"/>
      </w:pPr>
      <w:r>
        <w:t xml:space="preserve"/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Phase 2: Identify Rating Gaps (30 days)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Review current ratings against 38 CFR rating criteria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Identify conditions rated below their true severity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Note medical records that support higher ratings than VA assigned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List conditions unfiled that should be included</w:t>
      </w:r>
    </w:p>
    <w:p>
      <w:pPr>
        <w:spacing w:after="80" w:before="80"/>
      </w:pPr>
      <w:r>
        <w:t xml:space="preserve"/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Phase 3: Commission Medical Opinions (60 days)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Contact treating providers; request Nexus letters or IMO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Ask IMO provider to address: service connection, severity, functional impact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Request VA DBQ completion if available for your conditions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Obtain written statement: doctor opinion on TDIU or P&amp;T if pursuing those</w:t>
      </w:r>
    </w:p>
    <w:p>
      <w:pPr>
        <w:spacing w:after="80" w:before="80"/>
      </w:pPr>
      <w:r>
        <w:t xml:space="preserve"/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Filing Order Strategy: Highest Value First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Veterans often file conditions in random order, reducing combined rating potential.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Strategic filing maximizes combined ratings and reduces denial risk substantially.</w:t>
      </w:r>
    </w:p>
    <w:p>
      <w:pPr>
        <w:spacing w:after="80" w:before="80"/>
      </w:pPr>
      <w:r>
        <w:t xml:space="preserve"/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Why Filing Order Matters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VA combines ratings using non-linear formula, not simple addition.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10% plus 10% equals 19% (not 20%)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30% plus 20% equals 44% (not 50%)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Filing low-value conditions first uses combining power inefficiently</w:t>
      </w:r>
    </w:p>
    <w:p>
      <w:pPr>
        <w:spacing w:after="80" w:before="80"/>
      </w:pPr>
      <w:r>
        <w:t xml:space="preserve"/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Strategic Filing Sequence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File highest individual ratings first (conditions likely to achieve 40% or higher)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Then file conditions combining to reach 70% threshold for TDIU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Finally file secondary/low-value conditions that improve combined percentage</w:t>
      </w:r>
    </w:p>
    <w:p>
      <w:pPr>
        <w:spacing w:after="80" w:before="80"/>
      </w:pPr>
      <w:r>
        <w:t xml:space="preserve"/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When to File Increase vs. New Claim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Filing increase means arguing condition more severe than VA's current rating.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Filing new claim means arguing new condition exists or was omitted.</w:t>
      </w:r>
    </w:p>
    <w:p>
      <w:pPr>
        <w:spacing w:after="80" w:before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New Claim: condition was unfiled or denied; evidence of current onset strong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Increase: condition currently rated at lower percentage; recent medical shows worsening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Secondary Conditions: condition caused by primary service-connected condition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Rating review: compare your condition against VA rating criteria at each level</w:t>
      </w:r>
    </w:p>
    <w:p>
      <w:pPr>
        <w:spacing w:after="80" w:before="80"/>
      </w:pPr>
      <w:r>
        <w:t xml:space="preserve"/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ITF (Intent to File) Strategy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Intent to File preserves effective date. File ITF 1-3 months before formal claim.</w:t>
      </w:r>
    </w:p>
    <w:p>
      <w:pPr>
        <w:spacing w:after="80" w:before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Protects your effective date if filing takes longer expected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No commitment; filing ITF doesn't obligate proceeding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Extends statute of limitations in some circumstances</w:t>
      </w:r>
    </w:p>
    <w:p>
      <w:pPr>
        <w:spacing w:after="80" w:before="80"/>
      </w:pPr>
      <w:r>
        <w:t xml:space="preserve"/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Timing Between Filings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Should you file multiple claims simultaneously or sequentially?</w:t>
      </w:r>
    </w:p>
    <w:p>
      <w:pPr>
        <w:spacing w:after="80" w:before="80"/>
      </w:pPr>
      <w:r>
        <w:t xml:space="preserve"/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Simultaneous Filing: Request expedited processing if strong evidence for all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Sequential Filing: File primary conditions first, allow decisions, file secondary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Advantage of Sequential: Each decision provides evidence context for next</w:t>
      </w:r>
    </w:p>
    <w:p>
      <w:pPr>
        <w:spacing w:after="80" w:before="80"/>
      </w:pPr>
      <w:r>
        <w:t xml:space="preserve"/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Using IMOs Effectively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Strong Independent Medical Opinion multiplies value of all medical evidence.</w:t>
      </w:r>
    </w:p>
    <w:p>
      <w:pPr>
        <w:spacing w:after="80" w:before="80"/>
      </w:pPr>
      <w:r>
        <w:t xml:space="preserve"/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Best IMO practitioners understand VA rating criteria directly.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Current diagnosis and severity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Functional impact on work and daily activities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Connection between condition and military service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Why condition warrants specific rating level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Permanence and expected trajectory</w:t>
      </w:r>
    </w:p>
    <w:p>
      <w:pPr>
        <w:spacing w:after="80" w:before="80"/>
      </w:pPr>
      <w:r>
        <w:t xml:space="preserve"/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Buddy Statement Strategy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Buddy statements from service members corroborate your symptoms effectively.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Describe specific symptoms they witnessed (pain, anxiety, memory issues)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Explain how symptoms manifested during service and civilian work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Provide context: pre-service baseline versus post-service presentation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Use specific examples and dates where possible</w:t>
      </w:r>
    </w:p>
    <w:p>
      <w:pPr>
        <w:spacing w:after="80" w:before="80"/>
      </w:pPr>
      <w:r>
        <w:t xml:space="preserve"/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Buddy statements carry less weight than medical, but provide powerful corroboration.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sz w:val="64"/>
      <w:szCs w:val="64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sz w:val="56"/>
      <w:szCs w:val="56"/>
    </w:rPr>
  </w:style>
  <w:style w:type="paragraph" w:styleId="Heading3">
    <w:name w:val="Heading 3"/>
    <w:basedOn w:val="Normal"/>
    <w:next w:val="Normal"/>
    <w:qFormat/>
    <w:pPr>
      <w:spacing w:after="80" w:before="160"/>
      <w:outlineLvl w:val="2"/>
    </w:pPr>
    <w:rPr>
      <w:rFonts w:ascii="Arial" w:cs="Arial" w:eastAsia="Arial" w:hAnsi="Arial"/>
      <w:b/>
      <w:bCs/>
      <w:sz w:val="48"/>
      <w:szCs w:val="4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2026-04-14T04:03:39.950Z</dcterms:created>
  <dcterms:modified xsi:type="dcterms:W3CDTF">2026-04-14T04:03:39.950Z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