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BENEFITS &amp; INCOME GUIDE</w:t>
      </w:r>
    </w:p>
    <w:p>
      <w:pPr>
        <w:spacing w:after="100"/>
      </w:pPr>
    </w:p>
    <w:p>
      <w:pPr>
        <w:pStyle w:val="Heading2"/>
      </w:pPr>
      <w:r>
        <w:t xml:space="preserve">Combined Rating Calculator</w:t>
      </w:r>
    </w:p>
    <w:p>
      <w:pPr>
        <w:pStyle w:val="ListParagraph"/>
        <w:numPr>
          <w:ilvl w:val="0"/>
          <w:numId w:val="2"/>
        </w:numPr>
      </w:pPr>
      <w:r>
        <w:t xml:space="preserve">VA combines multiple service-connected disabilities using a non-linear rating table</w:t>
      </w:r>
    </w:p>
    <w:p>
      <w:pPr>
        <w:pStyle w:val="ListParagraph"/>
        <w:numPr>
          <w:ilvl w:val="0"/>
          <w:numId w:val="2"/>
        </w:numPr>
      </w:pPr>
      <w:r>
        <w:t xml:space="preserve">Higher ratings receive priority; each additional condition is applied to remaining disability</w:t>
      </w:r>
    </w:p>
    <w:p>
      <w:pPr>
        <w:pStyle w:val="ListParagraph"/>
        <w:numPr>
          <w:ilvl w:val="0"/>
          <w:numId w:val="2"/>
        </w:numPr>
      </w:pPr>
      <w:r>
        <w:t xml:space="preserve">Worked example: 50% rating + 30% rating = 65% combined (not 80%)</w:t>
      </w:r>
    </w:p>
    <w:p>
      <w:pPr>
        <w:spacing w:after="120"/>
      </w:pPr>
    </w:p>
    <w:p>
      <w:pPr>
        <w:pStyle w:val="Heading2"/>
      </w:pPr>
      <w:r>
        <w:t xml:space="preserve">Diagnostic Codes &amp; Rating Criteria</w:t>
      </w:r>
    </w:p>
    <w:p>
      <w:r>
        <w:t xml:space="preserve">PTSD (Post-Traumatic Stress Disorder)</w:t>
      </w:r>
    </w:p>
    <w:p>
      <w:r>
        <w:t xml:space="preserve">Diagnostic Code: 9411</w:t>
      </w:r>
    </w:p>
    <w:p>
      <w:pPr>
        <w:pStyle w:val="ListParagraph"/>
        <w:numPr>
          <w:ilvl w:val="0"/>
          <w:numId w:val="2"/>
        </w:numPr>
      </w:pPr>
      <w:r>
        <w:t xml:space="preserve">10%: Occasional episodes with mild symptoms</w:t>
      </w:r>
    </w:p>
    <w:p>
      <w:pPr>
        <w:pStyle w:val="ListParagraph"/>
        <w:numPr>
          <w:ilvl w:val="0"/>
          <w:numId w:val="2"/>
        </w:numPr>
      </w:pPr>
      <w:r>
        <w:t xml:space="preserve">30%: Periodic episodes; difficulty concentrating; sleep disturbance</w:t>
      </w:r>
    </w:p>
    <w:p>
      <w:pPr>
        <w:pStyle w:val="ListParagraph"/>
        <w:numPr>
          <w:ilvl w:val="0"/>
          <w:numId w:val="2"/>
        </w:numPr>
      </w:pPr>
      <w:r>
        <w:t xml:space="preserve">50%: Frequent intrusive thoughts; social withdrawal; occupational impairment</w:t>
      </w:r>
    </w:p>
    <w:p>
      <w:pPr>
        <w:pStyle w:val="ListParagraph"/>
        <w:numPr>
          <w:ilvl w:val="0"/>
          <w:numId w:val="2"/>
        </w:numPr>
      </w:pPr>
      <w:r>
        <w:t xml:space="preserve">70%: Severe symptoms; unable to work; significant functional loss</w:t>
      </w:r>
    </w:p>
    <w:p>
      <w:pPr>
        <w:pStyle w:val="ListParagraph"/>
        <w:numPr>
          <w:ilvl w:val="0"/>
          <w:numId w:val="2"/>
        </w:numPr>
      </w:pPr>
      <w:r>
        <w:t xml:space="preserve">100%: Total disability; extreme isolation; unable to perform daily tasks</w:t>
      </w:r>
    </w:p>
    <w:p>
      <w:pPr>
        <w:spacing w:after="80"/>
      </w:pPr>
    </w:p>
    <w:p>
      <w:r>
        <w:t xml:space="preserve">Traumatic Brain Injury (TBI) Diagnostic Code: 8045</w:t>
      </w:r>
    </w:p>
    <w:p>
      <w:pPr>
        <w:pStyle w:val="ListParagraph"/>
        <w:numPr>
          <w:ilvl w:val="0"/>
          <w:numId w:val="2"/>
        </w:numPr>
      </w:pPr>
      <w:r>
        <w:t xml:space="preserve">10%: Occasional headaches; mild cognitive effects</w:t>
      </w:r>
    </w:p>
    <w:p>
      <w:pPr>
        <w:pStyle w:val="ListParagraph"/>
        <w:numPr>
          <w:ilvl w:val="0"/>
          <w:numId w:val="2"/>
        </w:numPr>
      </w:pPr>
      <w:r>
        <w:t xml:space="preserve">20%: Frequent headaches; memory loss; mild dizziness</w:t>
      </w:r>
    </w:p>
    <w:p>
      <w:pPr>
        <w:pStyle w:val="ListParagraph"/>
        <w:numPr>
          <w:ilvl w:val="0"/>
          <w:numId w:val="2"/>
        </w:numPr>
      </w:pPr>
      <w:r>
        <w:t xml:space="preserve">40%: Ongoing headaches; significant cognitive impairment; balance issues</w:t>
      </w:r>
    </w:p>
    <w:p>
      <w:pPr>
        <w:pStyle w:val="ListParagraph"/>
        <w:numPr>
          <w:ilvl w:val="0"/>
          <w:numId w:val="2"/>
        </w:numPr>
      </w:pPr>
      <w:r>
        <w:t xml:space="preserve">60%+: Severe deficits; inability to work; personality changes</w:t>
      </w:r>
    </w:p>
    <w:p>
      <w:pPr>
        <w:spacing w:after="80"/>
      </w:pPr>
    </w:p>
    <w:p>
      <w:r>
        <w:t xml:space="preserve">Lower Back Strain Diagnostic Code: 5242</w:t>
      </w:r>
    </w:p>
    <w:p>
      <w:pPr>
        <w:pStyle w:val="ListParagraph"/>
        <w:numPr>
          <w:ilvl w:val="0"/>
          <w:numId w:val="2"/>
        </w:numPr>
      </w:pPr>
      <w:r>
        <w:t xml:space="preserve">10%: Occasional pain; no treatment needed</w:t>
      </w:r>
    </w:p>
    <w:p>
      <w:pPr>
        <w:pStyle w:val="ListParagraph"/>
        <w:numPr>
          <w:ilvl w:val="0"/>
          <w:numId w:val="2"/>
        </w:numPr>
      </w:pPr>
      <w:r>
        <w:t xml:space="preserve">20%: Recurring pain; occasional treatment; minimal impact on work</w:t>
      </w:r>
    </w:p>
    <w:p>
      <w:pPr>
        <w:pStyle w:val="ListParagraph"/>
        <w:numPr>
          <w:ilvl w:val="0"/>
          <w:numId w:val="2"/>
        </w:numPr>
      </w:pPr>
      <w:r>
        <w:t xml:space="preserve">40%: Persistent pain; regular treatment; limited lifting/bending</w:t>
      </w:r>
    </w:p>
    <w:p>
      <w:pPr>
        <w:pStyle w:val="ListParagraph"/>
        <w:numPr>
          <w:ilvl w:val="0"/>
          <w:numId w:val="2"/>
        </w:numPr>
      </w:pPr>
      <w:r>
        <w:t xml:space="preserve">60%+: Severe symptoms; unable to perform manual labor; significant functional loss</w:t>
      </w:r>
    </w:p>
    <w:p>
      <w:pPr>
        <w:spacing w:after="80"/>
      </w:pPr>
    </w:p>
    <w:p>
      <w:r>
        <w:t xml:space="preserve">Knee Disability Diagnostic Code: 5003</w:t>
      </w:r>
    </w:p>
    <w:p>
      <w:pPr>
        <w:pStyle w:val="ListParagraph"/>
        <w:numPr>
          <w:ilvl w:val="0"/>
          <w:numId w:val="2"/>
        </w:numPr>
      </w:pPr>
      <w:r>
        <w:t xml:space="preserve">0-10%: Minimal swelling; occasional stiffness</w:t>
      </w:r>
    </w:p>
    <w:p>
      <w:pPr>
        <w:pStyle w:val="ListParagraph"/>
        <w:numPr>
          <w:ilvl w:val="0"/>
          <w:numId w:val="2"/>
        </w:numPr>
      </w:pPr>
      <w:r>
        <w:t xml:space="preserve">20%: Recurring pain; mild swelling; limited range of motion</w:t>
      </w:r>
    </w:p>
    <w:p>
      <w:pPr>
        <w:pStyle w:val="ListParagraph"/>
        <w:numPr>
          <w:ilvl w:val="0"/>
          <w:numId w:val="2"/>
        </w:numPr>
      </w:pPr>
      <w:r>
        <w:t xml:space="preserve">30%: Chronic pain; recurrent swelling; difficulty walking long distances</w:t>
      </w:r>
    </w:p>
    <w:p>
      <w:pPr>
        <w:pStyle w:val="ListParagraph"/>
        <w:numPr>
          <w:ilvl w:val="0"/>
          <w:numId w:val="2"/>
        </w:numPr>
      </w:pPr>
      <w:r>
        <w:t xml:space="preserve">50%+: Severe pain; significant mobility loss; unable to perform occupational duties</w:t>
      </w:r>
    </w:p>
    <w:p>
      <w:pPr>
        <w:spacing w:after="80"/>
      </w:pPr>
    </w:p>
    <w:p>
      <w:r>
        <w:t xml:space="preserve">Tinnitus Diagnostic Code: 6260</w:t>
      </w:r>
    </w:p>
    <w:p>
      <w:pPr>
        <w:pStyle w:val="ListParagraph"/>
        <w:numPr>
          <w:ilvl w:val="0"/>
          <w:numId w:val="2"/>
        </w:numPr>
      </w:pPr>
      <w:r>
        <w:t xml:space="preserve">10%: Perception of sound; no functional impact (most common rating)</w:t>
      </w:r>
    </w:p>
    <w:p>
      <w:pPr>
        <w:pStyle w:val="ListParagraph"/>
        <w:numPr>
          <w:ilvl w:val="0"/>
          <w:numId w:val="2"/>
        </w:numPr>
      </w:pPr>
      <w:r>
        <w:t xml:space="preserve">20%: Constant tinnitus; concentration difficulties</w:t>
      </w:r>
    </w:p>
    <w:p>
      <w:pPr>
        <w:pStyle w:val="ListParagraph"/>
        <w:numPr>
          <w:ilvl w:val="0"/>
          <w:numId w:val="2"/>
        </w:numPr>
      </w:pPr>
      <w:r>
        <w:t xml:space="preserve">Note: Tinnitus rarely rated above 10% independently</w:t>
      </w:r>
    </w:p>
    <w:p>
      <w:pPr>
        <w:spacing w:after="80"/>
      </w:pPr>
    </w:p>
    <w:p>
      <w:r>
        <w:t xml:space="preserve">Sleep Apnea Diagnostic Code: 6847</w:t>
      </w:r>
    </w:p>
    <w:p>
      <w:pPr>
        <w:pStyle w:val="ListParagraph"/>
        <w:numPr>
          <w:ilvl w:val="0"/>
          <w:numId w:val="2"/>
        </w:numPr>
      </w:pPr>
      <w:r>
        <w:t xml:space="preserve">30%: Mild apnea; daytime somnolence</w:t>
      </w:r>
    </w:p>
    <w:p>
      <w:pPr>
        <w:pStyle w:val="ListParagraph"/>
        <w:numPr>
          <w:ilvl w:val="0"/>
          <w:numId w:val="2"/>
        </w:numPr>
      </w:pPr>
      <w:r>
        <w:t xml:space="preserve">50%: Moderate apnea; CPAP use required; functional impairment</w:t>
      </w:r>
    </w:p>
    <w:p>
      <w:pPr>
        <w:pStyle w:val="ListParagraph"/>
        <w:numPr>
          <w:ilvl w:val="0"/>
          <w:numId w:val="2"/>
        </w:numPr>
      </w:pPr>
      <w:r>
        <w:t xml:space="preserve">100%: Severe untreated apnea; cardiac complications; life-threatening</w:t>
      </w:r>
    </w:p>
    <w:p>
      <w:pPr>
        <w:spacing w:after="80"/>
      </w:pPr>
    </w:p>
    <w:p>
      <w:r>
        <w:t xml:space="preserve">Migraine Headaches Diagnostic Code: 8100</w:t>
      </w:r>
    </w:p>
    <w:p>
      <w:pPr>
        <w:pStyle w:val="ListParagraph"/>
        <w:numPr>
          <w:ilvl w:val="0"/>
          <w:numId w:val="2"/>
        </w:numPr>
      </w:pPr>
      <w:r>
        <w:t xml:space="preserve">0-10%: Occasional migraines; minimal impact</w:t>
      </w:r>
    </w:p>
    <w:p>
      <w:pPr>
        <w:pStyle w:val="ListParagraph"/>
        <w:numPr>
          <w:ilvl w:val="0"/>
          <w:numId w:val="2"/>
        </w:numPr>
      </w:pPr>
      <w:r>
        <w:t xml:space="preserve">20%: Monthly or more frequent; moderate functional loss; occasional absenteeism</w:t>
      </w:r>
    </w:p>
    <w:p>
      <w:pPr>
        <w:pStyle w:val="ListParagraph"/>
        <w:numPr>
          <w:ilvl w:val="0"/>
          <w:numId w:val="2"/>
        </w:numPr>
      </w:pPr>
      <w:r>
        <w:t xml:space="preserve">40%+: Frequent debilitating migraines; regular work/functional loss</w:t>
      </w:r>
    </w:p>
    <w:p>
      <w:pPr>
        <w:spacing w:after="200"/>
      </w:pPr>
    </w:p>
    <w:p>
      <w:pPr>
        <w:pStyle w:val="Heading2"/>
      </w:pPr>
      <w:r>
        <w:t xml:space="preserve">Dependent Compensation Filing</w:t>
      </w:r>
    </w:p>
    <w:p>
      <w:r>
        <w:t xml:space="preserve">Form 21-686c: Declaration of Status of Dependents</w:t>
      </w:r>
    </w:p>
    <w:p>
      <w:pPr>
        <w:pStyle w:val="ListParagraph"/>
        <w:numPr>
          <w:ilvl w:val="0"/>
          <w:numId w:val="2"/>
        </w:numPr>
      </w:pPr>
      <w:r>
        <w:t xml:space="preserve">File when adding spouse, children, or dependent parents</w:t>
      </w:r>
    </w:p>
    <w:p>
      <w:pPr>
        <w:pStyle w:val="ListParagraph"/>
        <w:numPr>
          <w:ilvl w:val="0"/>
          <w:numId w:val="2"/>
        </w:numPr>
      </w:pPr>
      <w:r>
        <w:t xml:space="preserve">Eligible dependents: spouse, unmarried children under 18 (or 23 if full-time student)</w:t>
      </w:r>
    </w:p>
    <w:p>
      <w:pPr>
        <w:pStyle w:val="ListParagraph"/>
        <w:numPr>
          <w:ilvl w:val="0"/>
          <w:numId w:val="2"/>
        </w:numPr>
      </w:pPr>
      <w:r>
        <w:t xml:space="preserve">Additional monthly pay: $50-100+ per dependent depending on rating</w:t>
      </w:r>
    </w:p>
    <w:p>
      <w:pPr>
        <w:pStyle w:val="ListParagraph"/>
        <w:numPr>
          <w:ilvl w:val="0"/>
          <w:numId w:val="2"/>
        </w:numPr>
      </w:pPr>
      <w:r>
        <w:t xml:space="preserve">File electronically at VA.gov or by mail</w:t>
      </w:r>
    </w:p>
    <w:p>
      <w:pPr>
        <w:spacing w:after="200"/>
      </w:pPr>
    </w:p>
    <w:p>
      <w:pPr>
        <w:pStyle w:val="Heading2"/>
      </w:pPr>
      <w:r>
        <w:t xml:space="preserve">TDIU (Total Disability Based on Individual Unemployability)</w:t>
      </w:r>
    </w:p>
    <w:p>
      <w:pPr>
        <w:pStyle w:val="ListParagraph"/>
        <w:numPr>
          <w:ilvl w:val="0"/>
          <w:numId w:val="2"/>
        </w:numPr>
      </w:pPr>
      <w:r>
        <w:t xml:space="preserve">Eligibility: one service-connected condition rated 60%+ OR multiple totaling 70%+</w:t>
      </w:r>
    </w:p>
    <w:p>
      <w:pPr>
        <w:pStyle w:val="ListParagraph"/>
        <w:numPr>
          <w:ilvl w:val="0"/>
          <w:numId w:val="2"/>
        </w:numPr>
      </w:pPr>
      <w:r>
        <w:t xml:space="preserve">Requirement: unable to perform any occupation due to service-connected disability</w:t>
      </w:r>
    </w:p>
    <w:p>
      <w:pPr>
        <w:pStyle w:val="ListParagraph"/>
        <w:numPr>
          <w:ilvl w:val="0"/>
          <w:numId w:val="2"/>
        </w:numPr>
      </w:pPr>
      <w:r>
        <w:t xml:space="preserve">Benefit: rated as 100% for compensation (even if combined rating is lower)</w:t>
      </w:r>
    </w:p>
    <w:p>
      <w:pPr>
        <w:pStyle w:val="ListParagraph"/>
        <w:numPr>
          <w:ilvl w:val="0"/>
          <w:numId w:val="2"/>
        </w:numPr>
      </w:pPr>
      <w:r>
        <w:t xml:space="preserve">Note: No gainful employment allowed; substantial part-time work risks TDIU status</w:t>
      </w:r>
    </w:p>
    <w:p>
      <w:pPr>
        <w:spacing w:after="200"/>
      </w:pPr>
    </w:p>
    <w:p>
      <w:pPr>
        <w:pStyle w:val="Heading2"/>
      </w:pPr>
      <w:r>
        <w:t xml:space="preserve">Annual Rating Review Checklist</w:t>
      </w:r>
    </w:p>
    <w:p>
      <w:pPr>
        <w:pStyle w:val="ListParagraph"/>
        <w:numPr>
          <w:ilvl w:val="0"/>
          <w:numId w:val="2"/>
        </w:numPr>
      </w:pPr>
      <w:r>
        <w:t xml:space="preserve">Check for scheduled exams at VA.gov or via VA letter</w:t>
      </w:r>
    </w:p>
    <w:p>
      <w:pPr>
        <w:pStyle w:val="ListParagraph"/>
        <w:numPr>
          <w:ilvl w:val="0"/>
          <w:numId w:val="2"/>
        </w:numPr>
      </w:pPr>
      <w:r>
        <w:t xml:space="preserve">Gather medical records from all providers (civilian + VA)</w:t>
      </w:r>
    </w:p>
    <w:p>
      <w:pPr>
        <w:pStyle w:val="ListParagraph"/>
        <w:numPr>
          <w:ilvl w:val="0"/>
          <w:numId w:val="2"/>
        </w:numPr>
      </w:pPr>
      <w:r>
        <w:t xml:space="preserve">Document symptom changes: severity, frequency, work impact</w:t>
      </w:r>
    </w:p>
    <w:p>
      <w:pPr>
        <w:pStyle w:val="ListParagraph"/>
        <w:numPr>
          <w:ilvl w:val="0"/>
          <w:numId w:val="2"/>
        </w:numPr>
      </w:pPr>
      <w:r>
        <w:t xml:space="preserve">Prepare for C&amp;P (Compensation &amp; Pension) exam if scheduled</w:t>
      </w:r>
    </w:p>
    <w:p>
      <w:pPr>
        <w:pStyle w:val="ListParagraph"/>
        <w:numPr>
          <w:ilvl w:val="0"/>
          <w:numId w:val="2"/>
        </w:numPr>
      </w:pPr>
      <w:r>
        <w:t xml:space="preserve">Request increases if condition has worsened since last rating</w:t>
      </w:r>
    </w:p>
    <w:p>
      <w:pPr>
        <w:pStyle w:val="ListParagraph"/>
        <w:numPr>
          <w:ilvl w:val="0"/>
          <w:numId w:val="2"/>
        </w:numPr>
      </w:pPr>
      <w:r>
        <w:t xml:space="preserve">Keep copies of all VA correspondence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2026-04-14T00:51:10.494Z</dcterms:created>
  <dcterms:modified xsi:type="dcterms:W3CDTF">2026-04-14T00:51:10.494Z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