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  <w:jc w:val="center"/>
      </w:pPr>
      <w:r>
        <w:t xml:space="preserve">SECONDARY AND SPECIALTY CLAIMS KIT</w:t>
      </w:r>
      <w:r>
        <w:rPr>
          <w:b/>
          <w:bCs/>
          <w:sz w:val="32"/>
          <w:szCs w:val="32"/>
        </w:rPr>
        <w:t xml:space="preserve">SECONDARY AND SPECIALTY CLAIMS KIT</w:t>
      </w:r>
    </w:p>
    <w:p>
      <w:pPr>
        <w:spacing w:after="240"/>
        <w:jc w:val="center"/>
      </w:pPr>
      <w:r>
        <w:t xml:space="preserve">Secondary Conditions, Specialty Matching, and MST Claims</w:t>
      </w:r>
      <w:r>
        <w:t xml:space="preserve">Secondary Conditions, Specialty Matching, and MST Claims</w:t>
      </w:r>
    </w:p>
    <w:p>
      <w:pPr>
        <w:pStyle w:val="Heading1"/>
        <w:spacing w:after="120" w:before="240"/>
        <w:jc w:val="left"/>
      </w:pPr>
      <w:r>
        <w:t xml:space="preserve">SECONDARY CLAIMS IDENTIFICATION WORKSHEET</w:t>
      </w:r>
    </w:p>
    <w:p>
      <w:pPr>
        <w:pStyle w:val="Heading2"/>
        <w:spacing w:after="100" w:before="180"/>
        <w:jc w:val="left"/>
      </w:pPr>
      <w:r>
        <w:t xml:space="preserve">How to Identify Secondary Conditions</w:t>
      </w:r>
    </w:p>
    <w:p>
      <w:pPr>
        <w:spacing w:after="200"/>
      </w:pPr>
      <w:r>
        <w:t xml:space="preserve">A secondary condition is a NEW condition caused by a service-connected (primary) condition. You can file for a secondary rating even if the primary condition is already rated.</w:t>
      </w:r>
      <w:r>
        <w:t xml:space="preserve">A secondary condition is a NEW condition caused by a service-connected (primary) condition. You can file for a secondary rating even if the primary condition is already rated.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Primary Condition</w:t>
            </w:r>
          </w:p>
        </w:tc>
        <w:tc>
          <w:tcPr>
            <w:tcW w:type="dxa" w:w="6360"/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Potential Secondary Conditions</w:t>
            </w:r>
          </w:p>
        </w:tc>
      </w:tr>
      <w:tr>
        <w:tc>
          <w:tcPr>
            <w:tcW w:type="dxa" w:w="3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PTSD</w:t>
            </w:r>
          </w:p>
        </w:tc>
        <w:tc>
          <w:tcPr>
            <w:tcW w:type="dxa" w:w="63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Major Depression, Anxiety Disorder, Substance Use Disorder, Sleep Disorder, Hyperension (stress-related)</w:t>
            </w:r>
          </w:p>
        </w:tc>
      </w:tr>
      <w:tr>
        <w:tc>
          <w:tcPr>
            <w:tcW w:type="dxa" w:w="3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TBI</w:t>
            </w:r>
          </w:p>
        </w:tc>
        <w:tc>
          <w:tcPr>
            <w:tcW w:type="dxa" w:w="63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PTSD, Depression, Cognitive Dysfunction, Sleep Disorder, Headache</w:t>
            </w:r>
          </w:p>
        </w:tc>
      </w:tr>
      <w:tr>
        <w:tc>
          <w:tcPr>
            <w:tcW w:type="dxa" w:w="3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MSK (back pain)</w:t>
            </w:r>
          </w:p>
        </w:tc>
        <w:tc>
          <w:tcPr>
            <w:tcW w:type="dxa" w:w="63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Depression (chronic pain disability), PTSD, Sleep Disorder, Substance Use Disorder</w:t>
            </w:r>
          </w:p>
        </w:tc>
      </w:tr>
      <w:tr>
        <w:tc>
          <w:tcPr>
            <w:tcW w:type="dxa" w:w="3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Tinnitus</w:t>
            </w:r>
          </w:p>
        </w:tc>
        <w:tc>
          <w:tcPr>
            <w:tcW w:type="dxa" w:w="63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Anxiety, Sleep Disorder, Depression</w:t>
            </w:r>
          </w:p>
        </w:tc>
      </w:tr>
    </w:tbl>
    <w:p>
      <w:r>
        <w:br w:type="page"/>
      </w:r>
    </w:p>
    <w:p>
      <w:pPr>
        <w:pStyle w:val="Heading1"/>
        <w:spacing w:after="120" w:before="240"/>
        <w:jc w:val="left"/>
      </w:pPr>
      <w:r>
        <w:t xml:space="preserve">SPECIALTY MATCHING CHART</w:t>
      </w:r>
    </w:p>
    <w:p>
      <w:pPr>
        <w:pStyle w:val="Heading2"/>
        <w:spacing w:after="100" w:before="180"/>
        <w:jc w:val="left"/>
      </w:pPr>
      <w:r>
        <w:t xml:space="preserve">Which Medical Specialty Should Write Your Nexus Letter?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Condition Type</w:t>
            </w:r>
          </w:p>
        </w:tc>
        <w:tc>
          <w:tcPr>
            <w:tcW w:type="dxa" w:w="5860"/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Best Specialty for Nexus</w:t>
            </w:r>
          </w:p>
        </w:tc>
      </w:tr>
      <w:tr>
        <w:tc>
          <w:tcPr>
            <w:tcW w:type="dxa" w:w="3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PTSD / Mental Health</w:t>
            </w:r>
          </w:p>
        </w:tc>
        <w:tc>
          <w:tcPr>
            <w:tcW w:type="dxa" w:w="58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Psychiatrist, LCSW, Psychologist (PsyD or PhD in Clinical Psychology)</w:t>
            </w:r>
          </w:p>
        </w:tc>
      </w:tr>
      <w:tr>
        <w:tc>
          <w:tcPr>
            <w:tcW w:type="dxa" w:w="3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TBI / Cognitive</w:t>
            </w:r>
          </w:p>
        </w:tc>
        <w:tc>
          <w:tcPr>
            <w:tcW w:type="dxa" w:w="58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Neurologist, Neuropsychologist</w:t>
            </w:r>
          </w:p>
        </w:tc>
      </w:tr>
      <w:tr>
        <w:tc>
          <w:tcPr>
            <w:tcW w:type="dxa" w:w="3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Back Pain / MSK</w:t>
            </w:r>
          </w:p>
        </w:tc>
        <w:tc>
          <w:tcPr>
            <w:tcW w:type="dxa" w:w="58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Orthopedic Surgeon, PM&amp;R (Physical Medicine &amp; Rehabilitation), Chiropractor</w:t>
            </w:r>
          </w:p>
        </w:tc>
      </w:tr>
      <w:tr>
        <w:tc>
          <w:tcPr>
            <w:tcW w:type="dxa" w:w="3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Hearing Loss</w:t>
            </w:r>
          </w:p>
        </w:tc>
        <w:tc>
          <w:tcPr>
            <w:tcW w:type="dxa" w:w="58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Audiologist, ENT (Otolaryngologist)</w:t>
            </w:r>
          </w:p>
        </w:tc>
      </w:tr>
      <w:tr>
        <w:tc>
          <w:tcPr>
            <w:tcW w:type="dxa" w:w="3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Sleep Disorder</w:t>
            </w:r>
          </w:p>
        </w:tc>
        <w:tc>
          <w:tcPr>
            <w:tcW w:type="dxa" w:w="58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Sleep Medicine Specialist, Pulmonologist</w:t>
            </w:r>
          </w:p>
        </w:tc>
      </w:tr>
    </w:tbl>
    <w:p>
      <w:r>
        <w:br w:type="page"/>
      </w:r>
    </w:p>
    <w:p>
      <w:pPr>
        <w:pStyle w:val="Heading1"/>
        <w:spacing w:after="120" w:before="240"/>
        <w:jc w:val="left"/>
      </w:pPr>
      <w:r>
        <w:t xml:space="preserve">SIMULTANEOUS CLAIMS FILING STRATEGY</w:t>
      </w:r>
    </w:p>
    <w:p>
      <w:pPr>
        <w:pStyle w:val="Heading2"/>
        <w:spacing w:after="100" w:before="180"/>
        <w:jc w:val="left"/>
      </w:pPr>
      <w:r>
        <w:t xml:space="preserve">When to File Multiple Claims at Once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You have evidence for multiple service-connected conditions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You are filing for new conditions related to existing service-connected condition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Timeline: File all claims with same 'Intent to File' date for consistency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Strategy: Primary + Secondary Together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File primary claim (e.g., PTSD) with medical evidence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File secondary claim (e.g., Depression secondary to PTSD) with nexus letter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Include same ITF date on both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Advantage: If primary is denied, secondary is automatically denied; if primary is granted, secondary has better chance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Simultaneous Claims Checklist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All claims have same ITF date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Each claim has complete evidence (nexus, medical records, lay statements)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Evidence for related conditions is consistent (same service event, same functional impact)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Cover letter explains how conditions are related</w:t>
      </w:r>
    </w:p>
    <w:p>
      <w:r>
        <w:br w:type="page"/>
      </w:r>
    </w:p>
    <w:p>
      <w:pPr>
        <w:pStyle w:val="Heading1"/>
        <w:spacing w:after="120" w:before="240"/>
        <w:jc w:val="left"/>
      </w:pPr>
      <w:r>
        <w:t xml:space="preserve">MST (MILITARY SEXUAL TRAUMA) ALTERNATIVE EVIDENCE</w:t>
      </w:r>
    </w:p>
    <w:p>
      <w:pPr>
        <w:pStyle w:val="Heading2"/>
        <w:spacing w:after="100" w:before="180"/>
        <w:jc w:val="left"/>
      </w:pPr>
      <w:r>
        <w:t xml:space="preserve">Special Evidentiary Rules for MST Claims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MST claims do NOT require corroborating witnesses (differs from other claims)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VA must accept your credible account of the event as evidence of occurrence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Medical records showing PTSD symptoms shortly after the event are strong evidence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Behavioral changes post-event (substance use, relationship problems) support MST claim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Strong MST Evidence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Your written detailed account of the event (with dates, location, perpetrator if known)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Medical records documenting PTSD symptoms (nightmares, intrusive memories, avoidance)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Mental health treatment records showing MST-related diagnosis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Service records showing change in unit assignment post-event (if transferred after trauma)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Lay statements from family/friends describing behavioral changes (withdrawal, trust issues)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Nexus Letter Strategy for MST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Seek mental health provider (psychiatrist, psychologist) experienced in trauma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Provide detailed account of MST to provider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Request nexus letter: 'Based on clinical assessment, [veteran]'s PTSD is consistent with and at least as likely as not caused by the reported MST'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Provider should note: timeline (symptoms began post-MST), symptom pattern (consistent with trauma), absence of alternative explanation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2026-04-14T01:25:46.969Z</dcterms:created>
  <dcterms:modified xsi:type="dcterms:W3CDTF">2026-04-14T01:25:46.969Z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