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Survivors Pension and A&amp;A Guide</w:t>
      </w:r>
    </w:p>
    <w:p>
      <w:pPr>
        <w:spacing w:after="240"/>
      </w:pPr>
      <w:r>
        <w:t xml:space="preserve">Need-based benefits for surviving spouses with limited income</w:t>
      </w:r>
    </w:p>
    <w:p>
      <w:pPr>
        <w:pStyle w:val="Heading2"/>
      </w:pPr>
      <w:r>
        <w:t xml:space="preserve">Survivors Pension Overview</w:t>
      </w:r>
    </w:p>
    <w:p>
      <w:pPr>
        <w:spacing w:after="120"/>
      </w:pPr>
      <w:r>
        <w:t xml:space="preserve">Survivors Pension is a need-based benefit for surviving spouses and children of deceased veterans who had a service-connected disability or died on active duty. Unlike DIC, pension eligibility is based on income limits rather than service connection.</w:t>
      </w:r>
    </w:p>
    <w:p>
      <w:pPr>
        <w:pStyle w:val="Heading2"/>
      </w:pPr>
      <w:r>
        <w:t xml:space="preserve">Pension vs. DIC Key Differences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Factor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DIC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Pension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Basis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 connection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Need/income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Amount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Fixed base + add'l based on rating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Variable based on income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Remarriage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Continues after remarriage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Ends upon remarriage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IVAP Threshold Chart by Year and Family Size</w:t>
      </w:r>
    </w:p>
    <w:p>
      <w:pPr>
        <w:spacing w:after="120"/>
      </w:pPr>
      <w:r>
        <w:t xml:space="preserve">The Income Limit for Veterans Receiving Pension (IVAP) sets the maximum countable income allowed. For 2024, these limits apply: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Family Size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Annual Limit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Monthly Limit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Surviving Spouse Alone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$18,585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$1,549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Verify current year rates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+ 1 Child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$24,390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$2,033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Each additional child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+ 2 Children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$30,195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$2,516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adds +$5,805/yr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VA Form 21P-534EZ Completion for Pension</w:t>
      </w:r>
    </w:p>
    <w:p>
      <w:pPr>
        <w:spacing w:after="120"/>
      </w:pPr>
      <w:r>
        <w:t xml:space="preserve">This is the same form used for DIC, but different sections apply. Focus on these areas for Pension:</w:t>
      </w:r>
    </w:p>
    <w:p>
      <w:pPr>
        <w:pStyle w:val="ListParagraph"/>
        <w:numPr>
          <w:ilvl w:val="0"/>
          <w:numId w:val="2"/>
        </w:numPr>
      </w:pPr>
      <w:r>
        <w:t xml:space="preserve">Household Composition: List all family members living with you</w:t>
      </w:r>
    </w:p>
    <w:p>
      <w:pPr>
        <w:pStyle w:val="ListParagraph"/>
        <w:numPr>
          <w:ilvl w:val="0"/>
          <w:numId w:val="2"/>
        </w:numPr>
      </w:pPr>
      <w:r>
        <w:t xml:space="preserve">Income Section: Report all sources of income (wages, SSN, pensions, interest)</w:t>
      </w:r>
    </w:p>
    <w:p>
      <w:pPr>
        <w:pStyle w:val="ListParagraph"/>
        <w:numPr>
          <w:ilvl w:val="0"/>
          <w:numId w:val="2"/>
        </w:numPr>
      </w:pPr>
      <w:r>
        <w:t xml:space="preserve">Expenses: Include medical expenses, which may reduce countable income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Assets: Report property, savings, and investments</w:t>
      </w:r>
    </w:p>
    <w:p>
      <w:pPr>
        <w:pStyle w:val="Heading2"/>
      </w:pPr>
      <w:r>
        <w:t xml:space="preserve">Form 21-2680 Guidance for A&amp;A and Housebound Status</w:t>
      </w:r>
    </w:p>
    <w:p>
      <w:pPr>
        <w:spacing w:after="120"/>
      </w:pPr>
      <w:r>
        <w:t xml:space="preserve">Aid and Attendance (A&amp;A) and Housebound benefits provide additional monthly payments for surviving spouses who need personal care assistance.</w:t>
      </w:r>
    </w:p>
    <w:p>
      <w:pPr>
        <w:pStyle w:val="Heading3"/>
      </w:pPr>
      <w:r>
        <w:t xml:space="preserve">A&amp;A Eligibility</w:t>
      </w:r>
    </w:p>
    <w:p>
      <w:pPr>
        <w:pStyle w:val="ListParagraph"/>
        <w:numPr>
          <w:ilvl w:val="0"/>
          <w:numId w:val="2"/>
        </w:numPr>
      </w:pPr>
      <w:r>
        <w:t xml:space="preserve">Need assistance with bathing, dressing, feeding, or toileting</w:t>
      </w:r>
    </w:p>
    <w:p>
      <w:pPr>
        <w:pStyle w:val="ListParagraph"/>
        <w:numPr>
          <w:ilvl w:val="0"/>
          <w:numId w:val="2"/>
        </w:numPr>
      </w:pPr>
      <w:r>
        <w:t xml:space="preserve">Blindness in both eyes</w:t>
      </w:r>
    </w:p>
    <w:p>
      <w:pPr>
        <w:pStyle w:val="ListParagraph"/>
        <w:numPr>
          <w:ilvl w:val="0"/>
          <w:numId w:val="2"/>
        </w:numPr>
      </w:pPr>
      <w:r>
        <w:t xml:space="preserve">Loss of limbs preventing self-care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Bedridden condition due to illness</w:t>
      </w:r>
    </w:p>
    <w:p>
      <w:pPr>
        <w:pStyle w:val="Heading3"/>
      </w:pPr>
      <w:r>
        <w:t xml:space="preserve">Housebound Eligibility</w:t>
      </w:r>
    </w:p>
    <w:p>
      <w:pPr>
        <w:pStyle w:val="ListParagraph"/>
        <w:numPr>
          <w:ilvl w:val="0"/>
          <w:numId w:val="2"/>
        </w:numPr>
      </w:pPr>
      <w:r>
        <w:t xml:space="preserve">Permanent condition that prevents leaving home</w:t>
      </w:r>
    </w:p>
    <w:p>
      <w:pPr>
        <w:pStyle w:val="ListParagraph"/>
        <w:numPr>
          <w:ilvl w:val="0"/>
          <w:numId w:val="2"/>
        </w:numPr>
      </w:pPr>
      <w:r>
        <w:t xml:space="preserve">Minimal, medical necessity-driven absences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Medical evidence must be submitted</w:t>
      </w:r>
    </w:p>
    <w:p>
      <w:pPr>
        <w:pStyle w:val="Heading2"/>
      </w:pPr>
      <w:r>
        <w:t xml:space="preserve">Annual Income Reporting Checklist</w:t>
      </w:r>
    </w:p>
    <w:p>
      <w:pPr>
        <w:spacing w:after="120"/>
      </w:pPr>
      <w:r>
        <w:t xml:space="preserve">The VA requires annual income verification. Gather these documents each year: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Documentation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Federal tax return or 1099 forms for all household members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Social Security benefit statements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Pension statements from any retirement plans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Bank statements showing interest or investment income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Documentation of medical expenses (receipts, invoices)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Documentation of gifts or inheritances received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Net Worth Considerations</w:t>
      </w:r>
    </w:p>
    <w:p>
      <w:pPr>
        <w:spacing w:after="120"/>
      </w:pPr>
      <w:r>
        <w:t xml:space="preserve">The VA considers your net worth (assets minus liabilities) when determining pension eligibility. Important points:</w:t>
      </w:r>
    </w:p>
    <w:p>
      <w:pPr>
        <w:pStyle w:val="ListParagraph"/>
        <w:numPr>
          <w:ilvl w:val="0"/>
          <w:numId w:val="2"/>
        </w:numPr>
      </w:pPr>
      <w:r>
        <w:t xml:space="preserve">Excess net worth can disqualify you from pension benefits</w:t>
      </w:r>
    </w:p>
    <w:p>
      <w:pPr>
        <w:pStyle w:val="ListParagraph"/>
        <w:numPr>
          <w:ilvl w:val="0"/>
          <w:numId w:val="2"/>
        </w:numPr>
      </w:pPr>
      <w:r>
        <w:t xml:space="preserve">Home and car are not usually counted as assets</w:t>
      </w:r>
    </w:p>
    <w:p>
      <w:pPr>
        <w:pStyle w:val="ListParagraph"/>
        <w:numPr>
          <w:ilvl w:val="0"/>
          <w:numId w:val="2"/>
        </w:numPr>
      </w:pPr>
      <w:r>
        <w:t xml:space="preserve">Savings accounts, stocks, bonds, and rental property do count</w:t>
      </w:r>
    </w:p>
    <w:p>
      <w:pPr>
        <w:pStyle w:val="ListParagraph"/>
        <w:numPr>
          <w:ilvl w:val="0"/>
          <w:numId w:val="2"/>
        </w:numPr>
      </w:pPr>
      <w:r>
        <w:t xml:space="preserve">Caregiver contracts or life care agreements may affect asset calculations</w:t>
      </w:r>
    </w:p>
    <w:p>
      <w:pPr>
        <w:pStyle w:val="ListParagraph"/>
        <w:numPr>
          <w:ilvl w:val="0"/>
          <w:numId w:val="2"/>
        </w:numPr>
      </w:pPr>
      <w:r>
        <w:t xml:space="preserve">Consult with a VA representative about your specific situation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2026-04-14T00:49:41.273Z</dcterms:created>
  <dcterms:modified xsi:type="dcterms:W3CDTF">2026-04-14T00:49:41.273Z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