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IDES Process Guide</w:t>
      </w:r>
    </w:p>
    <w:p>
      <w:pPr>
        <w:spacing w:after="60" w:before="60"/>
      </w:pPr>
      <w:r>
        <w:rPr>
          <w:rFonts w:ascii="Arial" w:cs="Arial" w:eastAsia="Arial" w:hAnsi="Arial"/>
          <w:sz w:val="22"/>
          <w:szCs w:val="22"/>
        </w:rPr>
        <w:t xml:space="preserve">The Integrated Disability Evaluation System is a joint Department of Defense and VA process that determines your medical fitness for continued military service and your disability rating. This guide walks you through every phase, your rights at each stage, and your appeal options.</w:t>
      </w:r>
    </w:p>
    <w:p>
      <w:pPr>
        <w:pStyle w:val="Heading2"/>
        <w:spacing w:after="100" w:before="180"/>
      </w:pPr>
      <w:r>
        <w:rPr>
          <w:rFonts w:ascii="Arial" w:cs="Arial" w:eastAsia="Arial" w:hAnsi="Arial"/>
          <w:b/>
          <w:bCs/>
          <w:color w:val="0F3460"/>
          <w:sz w:val="28"/>
          <w:szCs w:val="28"/>
        </w:rPr>
        <w:t xml:space="preserve">What is IDES and Why It Exists</w:t>
      </w:r>
    </w:p>
    <w:p>
      <w:pPr>
        <w:spacing w:after="60" w:before="60"/>
      </w:pPr>
      <w:r>
        <w:rPr>
          <w:rFonts w:ascii="Arial" w:cs="Arial" w:eastAsia="Arial" w:hAnsi="Arial"/>
          <w:sz w:val="22"/>
          <w:szCs w:val="22"/>
        </w:rPr>
        <w:t xml:space="preserve">IDES serves to:</w:t>
      </w:r>
    </w:p>
    <w:p>
      <w:pPr>
        <w:pStyle w:val="ListParagraph"/>
        <w:numPr>
          <w:ilvl w:val="0"/>
          <w:numId w:val="2"/>
        </w:numPr>
        <w:spacing w:after="40" w:before="40"/>
      </w:pPr>
      <w:r>
        <w:rPr>
          <w:rFonts w:ascii="Arial" w:cs="Arial" w:eastAsia="Arial" w:hAnsi="Arial"/>
          <w:sz w:val="22"/>
          <w:szCs w:val="22"/>
        </w:rPr>
        <w:t xml:space="preserve">Evaluate service members with medical conditions affecting duty fitness</w:t>
      </w:r>
    </w:p>
    <w:p>
      <w:pPr>
        <w:pStyle w:val="ListParagraph"/>
        <w:numPr>
          <w:ilvl w:val="0"/>
          <w:numId w:val="2"/>
        </w:numPr>
        <w:spacing w:after="40" w:before="40"/>
      </w:pPr>
      <w:r>
        <w:rPr>
          <w:rFonts w:ascii="Arial" w:cs="Arial" w:eastAsia="Arial" w:hAnsi="Arial"/>
          <w:sz w:val="22"/>
          <w:szCs w:val="22"/>
        </w:rPr>
        <w:t xml:space="preserve">Ensure fair and consistent disability evaluation across service branches</w:t>
      </w:r>
    </w:p>
    <w:p>
      <w:pPr>
        <w:pStyle w:val="ListParagraph"/>
        <w:numPr>
          <w:ilvl w:val="0"/>
          <w:numId w:val="2"/>
        </w:numPr>
        <w:spacing w:after="40" w:before="40"/>
      </w:pPr>
      <w:r>
        <w:rPr>
          <w:rFonts w:ascii="Arial" w:cs="Arial" w:eastAsia="Arial" w:hAnsi="Arial"/>
          <w:sz w:val="22"/>
          <w:szCs w:val="22"/>
        </w:rPr>
        <w:t xml:space="preserve">Streamline the separation or retirement process</w:t>
      </w:r>
    </w:p>
    <w:p>
      <w:pPr>
        <w:pStyle w:val="ListParagraph"/>
        <w:numPr>
          <w:ilvl w:val="0"/>
          <w:numId w:val="2"/>
        </w:numPr>
        <w:spacing w:after="40" w:before="40"/>
      </w:pPr>
      <w:r>
        <w:rPr>
          <w:rFonts w:ascii="Arial" w:cs="Arial" w:eastAsia="Arial" w:hAnsi="Arial"/>
          <w:sz w:val="22"/>
          <w:szCs w:val="22"/>
        </w:rPr>
        <w:t xml:space="preserve">Provide servicemembers with both DoD and VA disability evaluations simultaneously</w:t>
      </w:r>
    </w:p>
    <w:p>
      <w:pPr>
        <w:pStyle w:val="Heading2"/>
        <w:spacing w:after="100" w:before="180"/>
      </w:pPr>
      <w:r>
        <w:rPr>
          <w:rFonts w:ascii="Arial" w:cs="Arial" w:eastAsia="Arial" w:hAnsi="Arial"/>
          <w:b/>
          <w:bCs/>
          <w:color w:val="0F3460"/>
          <w:sz w:val="28"/>
          <w:szCs w:val="28"/>
        </w:rPr>
        <w:t xml:space="preserve">Two Components: MEB and PEB</w:t>
      </w:r>
    </w:p>
    <w:p>
      <w:pPr>
        <w:spacing w:after="80" w:before="140"/>
      </w:pPr>
      <w:r>
        <w:rPr>
          <w:rFonts w:ascii="Arial" w:cs="Arial" w:eastAsia="Arial" w:hAnsi="Arial"/>
          <w:b/>
          <w:bCs/>
          <w:color w:val="E94560"/>
          <w:sz w:val="26"/>
          <w:szCs w:val="26"/>
        </w:rPr>
        <w:t xml:space="preserve">Medical Evaluation Board (MEB)</w:t>
      </w:r>
    </w:p>
    <w:p>
      <w:pPr>
        <w:spacing w:after="60" w:before="60"/>
      </w:pPr>
      <w:r>
        <w:rPr>
          <w:rFonts w:ascii="Arial" w:cs="Arial" w:eastAsia="Arial" w:hAnsi="Arial"/>
          <w:sz w:val="22"/>
          <w:szCs w:val="22"/>
        </w:rPr>
        <w:t xml:space="preserve">An MEB is a group of 3-5 military physicians who:</w:t>
      </w:r>
    </w:p>
    <w:p>
      <w:pPr>
        <w:pStyle w:val="ListParagraph"/>
        <w:numPr>
          <w:ilvl w:val="0"/>
          <w:numId w:val="2"/>
        </w:numPr>
        <w:spacing w:after="40" w:before="40"/>
      </w:pPr>
      <w:r>
        <w:rPr>
          <w:rFonts w:ascii="Arial" w:cs="Arial" w:eastAsia="Arial" w:hAnsi="Arial"/>
          <w:sz w:val="22"/>
          <w:szCs w:val="22"/>
        </w:rPr>
        <w:t xml:space="preserve">Review your medical evidence and service record</w:t>
      </w:r>
    </w:p>
    <w:p>
      <w:pPr>
        <w:pStyle w:val="ListParagraph"/>
        <w:numPr>
          <w:ilvl w:val="0"/>
          <w:numId w:val="2"/>
        </w:numPr>
        <w:spacing w:after="40" w:before="40"/>
      </w:pPr>
      <w:r>
        <w:rPr>
          <w:rFonts w:ascii="Arial" w:cs="Arial" w:eastAsia="Arial" w:hAnsi="Arial"/>
          <w:sz w:val="22"/>
          <w:szCs w:val="22"/>
        </w:rPr>
        <w:t xml:space="preserve">Examine military medical documentation</w:t>
      </w:r>
    </w:p>
    <w:p>
      <w:pPr>
        <w:pStyle w:val="ListParagraph"/>
        <w:numPr>
          <w:ilvl w:val="0"/>
          <w:numId w:val="2"/>
        </w:numPr>
        <w:spacing w:after="40" w:before="40"/>
      </w:pPr>
      <w:r>
        <w:rPr>
          <w:rFonts w:ascii="Arial" w:cs="Arial" w:eastAsia="Arial" w:hAnsi="Arial"/>
          <w:sz w:val="22"/>
          <w:szCs w:val="22"/>
        </w:rPr>
        <w:t xml:space="preserve">Determine whether your medical condition interferes with duty performance</w:t>
      </w:r>
    </w:p>
    <w:p>
      <w:pPr>
        <w:pStyle w:val="ListParagraph"/>
        <w:numPr>
          <w:ilvl w:val="0"/>
          <w:numId w:val="2"/>
        </w:numPr>
        <w:spacing w:after="40" w:before="40"/>
      </w:pPr>
      <w:r>
        <w:rPr>
          <w:rFonts w:ascii="Arial" w:cs="Arial" w:eastAsia="Arial" w:hAnsi="Arial"/>
          <w:sz w:val="22"/>
          <w:szCs w:val="22"/>
        </w:rPr>
        <w:t xml:space="preserve">Make recommendation: Fit or Unfit for continued military duty</w:t>
      </w:r>
    </w:p>
    <w:p>
      <w:pPr>
        <w:pStyle w:val="ListParagraph"/>
        <w:numPr>
          <w:ilvl w:val="0"/>
          <w:numId w:val="2"/>
        </w:numPr>
        <w:spacing w:after="40" w:before="40"/>
      </w:pPr>
      <w:r>
        <w:rPr>
          <w:rFonts w:ascii="Arial" w:cs="Arial" w:eastAsia="Arial" w:hAnsi="Arial"/>
          <w:sz w:val="22"/>
          <w:szCs w:val="22"/>
        </w:rPr>
        <w:t xml:space="preserve">Send recommendation to Physical Evaluation Board</w:t>
      </w:r>
    </w:p>
    <w:p>
      <w:pPr>
        <w:spacing w:after="80" w:before="140"/>
      </w:pPr>
      <w:r>
        <w:rPr>
          <w:rFonts w:ascii="Arial" w:cs="Arial" w:eastAsia="Arial" w:hAnsi="Arial"/>
          <w:b/>
          <w:bCs/>
          <w:color w:val="E94560"/>
          <w:sz w:val="26"/>
          <w:szCs w:val="26"/>
        </w:rPr>
        <w:t xml:space="preserve">Physical Evaluation Board (PEB)</w:t>
      </w:r>
    </w:p>
    <w:p>
      <w:pPr>
        <w:spacing w:after="60" w:before="60"/>
      </w:pPr>
      <w:r>
        <w:rPr>
          <w:rFonts w:ascii="Arial" w:cs="Arial" w:eastAsia="Arial" w:hAnsi="Arial"/>
          <w:sz w:val="22"/>
          <w:szCs w:val="22"/>
        </w:rPr>
        <w:t xml:space="preserve">A PEB is composed of senior officers, chaplains, and civilian advisors who:</w:t>
      </w:r>
    </w:p>
    <w:p>
      <w:pPr>
        <w:pStyle w:val="ListParagraph"/>
        <w:numPr>
          <w:ilvl w:val="0"/>
          <w:numId w:val="2"/>
        </w:numPr>
        <w:spacing w:after="40" w:before="40"/>
      </w:pPr>
      <w:r>
        <w:rPr>
          <w:rFonts w:ascii="Arial" w:cs="Arial" w:eastAsia="Arial" w:hAnsi="Arial"/>
          <w:sz w:val="22"/>
          <w:szCs w:val="22"/>
        </w:rPr>
        <w:t xml:space="preserve">Review MEB recommendation and medical evidence</w:t>
      </w:r>
    </w:p>
    <w:p>
      <w:pPr>
        <w:pStyle w:val="ListParagraph"/>
        <w:numPr>
          <w:ilvl w:val="0"/>
          <w:numId w:val="2"/>
        </w:numPr>
        <w:spacing w:after="40" w:before="40"/>
      </w:pPr>
      <w:r>
        <w:rPr>
          <w:rFonts w:ascii="Arial" w:cs="Arial" w:eastAsia="Arial" w:hAnsi="Arial"/>
          <w:sz w:val="22"/>
          <w:szCs w:val="22"/>
        </w:rPr>
        <w:t xml:space="preserve">Hold hearing (IPEB or APEB) if you request</w:t>
      </w:r>
    </w:p>
    <w:p>
      <w:pPr>
        <w:pStyle w:val="ListParagraph"/>
        <w:numPr>
          <w:ilvl w:val="0"/>
          <w:numId w:val="2"/>
        </w:numPr>
        <w:spacing w:after="40" w:before="40"/>
      </w:pPr>
      <w:r>
        <w:rPr>
          <w:rFonts w:ascii="Arial" w:cs="Arial" w:eastAsia="Arial" w:hAnsi="Arial"/>
          <w:sz w:val="22"/>
          <w:szCs w:val="22"/>
        </w:rPr>
        <w:t xml:space="preserve">Allow you to present your case and witnesses</w:t>
      </w:r>
    </w:p>
    <w:p>
      <w:pPr>
        <w:pStyle w:val="ListParagraph"/>
        <w:numPr>
          <w:ilvl w:val="0"/>
          <w:numId w:val="2"/>
        </w:numPr>
        <w:spacing w:after="40" w:before="40"/>
      </w:pPr>
      <w:r>
        <w:rPr>
          <w:rFonts w:ascii="Arial" w:cs="Arial" w:eastAsia="Arial" w:hAnsi="Arial"/>
          <w:sz w:val="22"/>
          <w:szCs w:val="22"/>
        </w:rPr>
        <w:t xml:space="preserve">Make final determination on fitness for duty</w:t>
      </w:r>
    </w:p>
    <w:p>
      <w:pPr>
        <w:pStyle w:val="ListParagraph"/>
        <w:numPr>
          <w:ilvl w:val="0"/>
          <w:numId w:val="2"/>
        </w:numPr>
        <w:spacing w:after="40" w:before="40"/>
      </w:pPr>
      <w:r>
        <w:rPr>
          <w:rFonts w:ascii="Arial" w:cs="Arial" w:eastAsia="Arial" w:hAnsi="Arial"/>
          <w:sz w:val="22"/>
          <w:szCs w:val="22"/>
        </w:rPr>
        <w:t xml:space="preserve">Determine separation or retirement</w:t>
      </w:r>
    </w:p>
    <w:p>
      <w:pPr>
        <w:pStyle w:val="Heading2"/>
        <w:spacing w:after="100" w:before="180"/>
      </w:pPr>
      <w:r>
        <w:rPr>
          <w:rFonts w:ascii="Arial" w:cs="Arial" w:eastAsia="Arial" w:hAnsi="Arial"/>
          <w:b/>
          <w:bCs/>
          <w:color w:val="0F3460"/>
          <w:sz w:val="28"/>
          <w:szCs w:val="28"/>
        </w:rPr>
        <w:t xml:space="preserve">Complete IDES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0"/>
        <w:gridCol w:w="7490"/>
      </w:tblGrid>
      <w:tr>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DAY</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ACTION</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Referred to IDES by command. Receive notification letter.</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1-5</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VA sends official notification letter explaining process and your rights.</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30-60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First C&amp;P examination scheduled. Initial medical evaluation by VA.</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90-120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All required VA examinations completed.</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120-180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VA assigns disability rating (0%-100%).</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150-210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MEB finalizes findings and forwards to PEB.</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210-270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Initial PEB (IPEB) hearing scheduled if you request.</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280-295</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Final separation or retirement orders signed.</w:t>
            </w:r>
          </w:p>
        </w:tc>
      </w:tr>
    </w:tbl>
    <w:p>
      <w:pPr>
        <w:pStyle w:val="Heading2"/>
        <w:spacing w:after="100" w:before="180"/>
      </w:pPr>
      <w:r>
        <w:rPr>
          <w:rFonts w:ascii="Arial" w:cs="Arial" w:eastAsia="Arial" w:hAnsi="Arial"/>
          <w:b/>
          <w:bCs/>
          <w:color w:val="0F3460"/>
          <w:sz w:val="28"/>
          <w:szCs w:val="28"/>
        </w:rPr>
        <w:t xml:space="preserve">VA Ratings Assigned During IDES</w:t>
      </w:r>
    </w:p>
    <w:p>
      <w:pPr>
        <w:spacing w:after="60" w:before="60"/>
      </w:pPr>
      <w:r>
        <w:rPr>
          <w:rFonts w:ascii="Arial" w:cs="Arial" w:eastAsia="Arial" w:hAnsi="Arial"/>
          <w:sz w:val="22"/>
          <w:szCs w:val="22"/>
        </w:rPr>
        <w:t xml:space="preserve">VA assigns percentage rating (0%-100%) based on condition severity per VA Schedule. Ratings measure disability level, NOT fitness for duty.</w:t>
      </w:r>
    </w:p>
    <w:p>
      <w:pPr>
        <w:spacing w:after="80" w:before="140"/>
      </w:pPr>
      <w:r>
        <w:rPr>
          <w:rFonts w:ascii="Arial" w:cs="Arial" w:eastAsia="Arial" w:hAnsi="Arial"/>
          <w:b/>
          <w:bCs/>
          <w:color w:val="E94560"/>
          <w:sz w:val="26"/>
          <w:szCs w:val="26"/>
        </w:rPr>
        <w:t xml:space="preserve">Understanding Rating Outcomes</w:t>
      </w:r>
    </w:p>
    <w:p>
      <w:pPr>
        <w:spacing w:after="80" w:before="140"/>
      </w:pPr>
      <w:r>
        <w:rPr>
          <w:rFonts w:ascii="Arial" w:cs="Arial" w:eastAsia="Arial" w:hAnsi="Arial"/>
          <w:b/>
          <w:bCs/>
          <w:color w:val="E94560"/>
          <w:sz w:val="26"/>
          <w:szCs w:val="26"/>
        </w:rPr>
        <w:t xml:space="preserve">Scenario 1: Fit for Duty (Any Rating)</w:t>
      </w:r>
    </w:p>
    <w:p>
      <w:pPr>
        <w:spacing w:after="60" w:before="60"/>
      </w:pPr>
      <w:r>
        <w:rPr>
          <w:rFonts w:ascii="Arial" w:cs="Arial" w:eastAsia="Arial" w:hAnsi="Arial"/>
          <w:sz w:val="22"/>
          <w:szCs w:val="22"/>
        </w:rPr>
        <w:t xml:space="preserve">Even if VA rates you 50%+ disabled, if MEB determines you ARE fit for duty, you remain on active duty. Your medical condition does not prevent duty performance. You can request reconsideration if condition worsens.</w:t>
      </w:r>
    </w:p>
    <w:p>
      <w:pPr>
        <w:spacing w:after="80" w:before="140"/>
      </w:pPr>
      <w:r>
        <w:rPr>
          <w:rFonts w:ascii="Arial" w:cs="Arial" w:eastAsia="Arial" w:hAnsi="Arial"/>
          <w:b/>
          <w:bCs/>
          <w:color w:val="E94560"/>
          <w:sz w:val="26"/>
          <w:szCs w:val="26"/>
        </w:rPr>
        <w:t xml:space="preserve">Scenario 2: Unfit + 50% or Higher Rating</w:t>
      </w:r>
    </w:p>
    <w:p>
      <w:pPr>
        <w:spacing w:after="60" w:before="60"/>
      </w:pPr>
      <w:r>
        <w:rPr>
          <w:rFonts w:ascii="Arial" w:cs="Arial" w:eastAsia="Arial" w:hAnsi="Arial"/>
          <w:sz w:val="22"/>
          <w:szCs w:val="22"/>
        </w:rPr>
        <w:t xml:space="preserve">If unfit AND rated 50%+, you are offered military retirement. You receive both military retirement pay AND VA disability compensation. Both payments are calculated separately and neither reduces the other.</w:t>
      </w:r>
    </w:p>
    <w:p>
      <w:pPr>
        <w:spacing w:after="80" w:before="140"/>
      </w:pPr>
      <w:r>
        <w:rPr>
          <w:rFonts w:ascii="Arial" w:cs="Arial" w:eastAsia="Arial" w:hAnsi="Arial"/>
          <w:b/>
          <w:bCs/>
          <w:color w:val="E94560"/>
          <w:sz w:val="26"/>
          <w:szCs w:val="26"/>
        </w:rPr>
        <w:t xml:space="preserve">Scenario 3: Unfit + Below 50% Rating</w:t>
      </w:r>
    </w:p>
    <w:p>
      <w:pPr>
        <w:spacing w:after="60" w:before="60"/>
      </w:pPr>
      <w:r>
        <w:rPr>
          <w:rFonts w:ascii="Arial" w:cs="Arial" w:eastAsia="Arial" w:hAnsi="Arial"/>
          <w:sz w:val="22"/>
          <w:szCs w:val="22"/>
        </w:rPr>
        <w:t xml:space="preserve">If unfit AND rated below 50%, you receive severance pay (typically 2-3 months base pay) and transition to civilian status. Your VA disability rating becomes your ongoing compensation source.</w:t>
      </w:r>
    </w:p>
    <w:p>
      <w:pPr>
        <w:spacing w:after="80" w:before="140"/>
      </w:pPr>
      <w:r>
        <w:rPr>
          <w:rFonts w:ascii="Arial" w:cs="Arial" w:eastAsia="Arial" w:hAnsi="Arial"/>
          <w:b/>
          <w:bCs/>
          <w:color w:val="E94560"/>
          <w:sz w:val="26"/>
          <w:szCs w:val="26"/>
        </w:rPr>
        <w:t xml:space="preserve">Scenario 4: TDRL (Temporary Disability Retired List)</w:t>
      </w:r>
    </w:p>
    <w:p>
      <w:pPr>
        <w:spacing w:after="60" w:before="60"/>
      </w:pPr>
      <w:r>
        <w:rPr>
          <w:rFonts w:ascii="Arial" w:cs="Arial" w:eastAsia="Arial" w:hAnsi="Arial"/>
          <w:sz w:val="22"/>
          <w:szCs w:val="22"/>
        </w:rPr>
        <w:t xml:space="preserve">Some service members receive temporary military retirement if their condition might improve or worsen. You receive retirement pay for 3-5 years, then re-evaluation occurs.</w:t>
      </w:r>
    </w:p>
    <w:p>
      <w:pPr>
        <w:pStyle w:val="Heading2"/>
        <w:spacing w:after="100" w:before="180"/>
      </w:pPr>
      <w:r>
        <w:rPr>
          <w:rFonts w:ascii="Arial" w:cs="Arial" w:eastAsia="Arial" w:hAnsi="Arial"/>
          <w:b/>
          <w:bCs/>
          <w:color w:val="0F3460"/>
          <w:sz w:val="28"/>
          <w:szCs w:val="28"/>
        </w:rPr>
        <w:t xml:space="preserve">Your Rights During IDES Process</w:t>
      </w:r>
    </w:p>
    <w:p>
      <w:pPr>
        <w:spacing w:after="60" w:before="60"/>
      </w:pPr>
      <w:r>
        <w:rPr>
          <w:rFonts w:ascii="Arial" w:cs="Arial" w:eastAsia="Arial" w:hAnsi="Arial"/>
          <w:sz w:val="22"/>
          <w:szCs w:val="22"/>
        </w:rPr>
        <w:t xml:space="preserve">You have guaranteed rights:</w:t>
      </w:r>
    </w:p>
    <w:p>
      <w:pPr>
        <w:pStyle w:val="ListParagraph"/>
        <w:numPr>
          <w:ilvl w:val="0"/>
          <w:numId w:val="2"/>
        </w:numPr>
        <w:spacing w:after="40" w:before="40"/>
      </w:pPr>
      <w:r>
        <w:rPr>
          <w:rFonts w:ascii="Arial" w:cs="Arial" w:eastAsia="Arial" w:hAnsi="Arial"/>
          <w:sz w:val="22"/>
          <w:szCs w:val="22"/>
        </w:rPr>
        <w:t xml:space="preserve">Written notice of referral to IDES</w:t>
      </w:r>
    </w:p>
    <w:p>
      <w:pPr>
        <w:pStyle w:val="ListParagraph"/>
        <w:numPr>
          <w:ilvl w:val="0"/>
          <w:numId w:val="2"/>
        </w:numPr>
        <w:spacing w:after="40" w:before="40"/>
      </w:pPr>
      <w:r>
        <w:rPr>
          <w:rFonts w:ascii="Arial" w:cs="Arial" w:eastAsia="Arial" w:hAnsi="Arial"/>
          <w:sz w:val="22"/>
          <w:szCs w:val="22"/>
        </w:rPr>
        <w:t xml:space="preserve">Opportunity to review all medical evidence</w:t>
      </w:r>
    </w:p>
    <w:p>
      <w:pPr>
        <w:pStyle w:val="ListParagraph"/>
        <w:numPr>
          <w:ilvl w:val="0"/>
          <w:numId w:val="2"/>
        </w:numPr>
        <w:spacing w:after="40" w:before="40"/>
      </w:pPr>
      <w:r>
        <w:rPr>
          <w:rFonts w:ascii="Arial" w:cs="Arial" w:eastAsia="Arial" w:hAnsi="Arial"/>
          <w:sz w:val="22"/>
          <w:szCs w:val="22"/>
        </w:rPr>
        <w:t xml:space="preserve">Right to request independent medical opinion</w:t>
      </w:r>
    </w:p>
    <w:p>
      <w:pPr>
        <w:pStyle w:val="ListParagraph"/>
        <w:numPr>
          <w:ilvl w:val="0"/>
          <w:numId w:val="2"/>
        </w:numPr>
        <w:spacing w:after="40" w:before="40"/>
      </w:pPr>
      <w:r>
        <w:rPr>
          <w:rFonts w:ascii="Arial" w:cs="Arial" w:eastAsia="Arial" w:hAnsi="Arial"/>
          <w:sz w:val="22"/>
          <w:szCs w:val="22"/>
        </w:rPr>
        <w:t xml:space="preserve">Right to submit additional medical evidence</w:t>
      </w:r>
    </w:p>
    <w:p>
      <w:pPr>
        <w:pStyle w:val="ListParagraph"/>
        <w:numPr>
          <w:ilvl w:val="0"/>
          <w:numId w:val="2"/>
        </w:numPr>
        <w:spacing w:after="40" w:before="40"/>
      </w:pPr>
      <w:r>
        <w:rPr>
          <w:rFonts w:ascii="Arial" w:cs="Arial" w:eastAsia="Arial" w:hAnsi="Arial"/>
          <w:sz w:val="22"/>
          <w:szCs w:val="22"/>
        </w:rPr>
        <w:t xml:space="preserve">Right to request MEB reconsideration</w:t>
      </w:r>
    </w:p>
    <w:p>
      <w:pPr>
        <w:pStyle w:val="ListParagraph"/>
        <w:numPr>
          <w:ilvl w:val="0"/>
          <w:numId w:val="2"/>
        </w:numPr>
        <w:spacing w:after="40" w:before="40"/>
      </w:pPr>
      <w:r>
        <w:rPr>
          <w:rFonts w:ascii="Arial" w:cs="Arial" w:eastAsia="Arial" w:hAnsi="Arial"/>
          <w:sz w:val="22"/>
          <w:szCs w:val="22"/>
        </w:rPr>
        <w:t xml:space="preserve">Right to personal appearance hearing before PEB (IPEB or APEB)</w:t>
      </w:r>
    </w:p>
    <w:p>
      <w:pPr>
        <w:pStyle w:val="ListParagraph"/>
        <w:numPr>
          <w:ilvl w:val="0"/>
          <w:numId w:val="2"/>
        </w:numPr>
        <w:spacing w:after="40" w:before="40"/>
      </w:pPr>
      <w:r>
        <w:rPr>
          <w:rFonts w:ascii="Arial" w:cs="Arial" w:eastAsia="Arial" w:hAnsi="Arial"/>
          <w:sz w:val="22"/>
          <w:szCs w:val="22"/>
        </w:rPr>
        <w:t xml:space="preserve">Right to legal representative (VSO or attorney)</w:t>
      </w:r>
    </w:p>
    <w:p>
      <w:pPr>
        <w:pStyle w:val="ListParagraph"/>
        <w:numPr>
          <w:ilvl w:val="0"/>
          <w:numId w:val="2"/>
        </w:numPr>
        <w:spacing w:after="40" w:before="40"/>
      </w:pPr>
      <w:r>
        <w:rPr>
          <w:rFonts w:ascii="Arial" w:cs="Arial" w:eastAsia="Arial" w:hAnsi="Arial"/>
          <w:sz w:val="22"/>
          <w:szCs w:val="22"/>
        </w:rPr>
        <w:t xml:space="preserve">Right to appeal PEB fitness determination</w:t>
      </w:r>
    </w:p>
    <w:p>
      <w:pPr>
        <w:pStyle w:val="ListParagraph"/>
        <w:numPr>
          <w:ilvl w:val="0"/>
          <w:numId w:val="2"/>
        </w:numPr>
        <w:spacing w:after="40" w:before="40"/>
      </w:pPr>
      <w:r>
        <w:rPr>
          <w:rFonts w:ascii="Arial" w:cs="Arial" w:eastAsia="Arial" w:hAnsi="Arial"/>
          <w:sz w:val="22"/>
          <w:szCs w:val="22"/>
        </w:rPr>
        <w:t xml:space="preserve">Right to appeal VA rating within one year of separation</w:t>
      </w:r>
    </w:p>
    <w:p>
      <w:pPr>
        <w:pStyle w:val="Heading2"/>
        <w:spacing w:after="100" w:before="180"/>
      </w:pPr>
      <w:r>
        <w:rPr>
          <w:rFonts w:ascii="Arial" w:cs="Arial" w:eastAsia="Arial" w:hAnsi="Arial"/>
          <w:b/>
          <w:bCs/>
          <w:color w:val="0F3460"/>
          <w:sz w:val="28"/>
          <w:szCs w:val="28"/>
        </w:rPr>
        <w:t xml:space="preserve">Appealing Within IDES</w:t>
      </w:r>
    </w:p>
    <w:p>
      <w:pPr>
        <w:spacing w:after="80" w:before="140"/>
      </w:pPr>
      <w:r>
        <w:rPr>
          <w:rFonts w:ascii="Arial" w:cs="Arial" w:eastAsia="Arial" w:hAnsi="Arial"/>
          <w:b/>
          <w:bCs/>
          <w:color w:val="E94560"/>
          <w:sz w:val="26"/>
          <w:szCs w:val="26"/>
        </w:rPr>
        <w:t xml:space="preserve">20-Day Reconsideration Window</w:t>
      </w:r>
    </w:p>
    <w:p>
      <w:pPr>
        <w:spacing w:after="60" w:before="60"/>
      </w:pPr>
      <w:r>
        <w:rPr>
          <w:rFonts w:ascii="Arial" w:cs="Arial" w:eastAsia="Arial" w:hAnsi="Arial"/>
          <w:sz w:val="22"/>
          <w:szCs w:val="22"/>
        </w:rPr>
        <w:t xml:space="preserve">After receiving PEB findings, you have 20 days to request reconsideration. Submit:</w:t>
      </w:r>
    </w:p>
    <w:p>
      <w:pPr>
        <w:pStyle w:val="ListParagraph"/>
        <w:numPr>
          <w:ilvl w:val="0"/>
          <w:numId w:val="2"/>
        </w:numPr>
        <w:spacing w:after="40" w:before="40"/>
      </w:pPr>
      <w:r>
        <w:rPr>
          <w:rFonts w:ascii="Arial" w:cs="Arial" w:eastAsia="Arial" w:hAnsi="Arial"/>
          <w:sz w:val="22"/>
          <w:szCs w:val="22"/>
        </w:rPr>
        <w:t xml:space="preserve">New medical evidence contradicting PEB findings</w:t>
      </w:r>
    </w:p>
    <w:p>
      <w:pPr>
        <w:pStyle w:val="ListParagraph"/>
        <w:numPr>
          <w:ilvl w:val="0"/>
          <w:numId w:val="2"/>
        </w:numPr>
        <w:spacing w:after="40" w:before="40"/>
      </w:pPr>
      <w:r>
        <w:rPr>
          <w:rFonts w:ascii="Arial" w:cs="Arial" w:eastAsia="Arial" w:hAnsi="Arial"/>
          <w:sz w:val="22"/>
          <w:szCs w:val="22"/>
        </w:rPr>
        <w:t xml:space="preserve">Letter explaining why findings are erroneous</w:t>
      </w:r>
    </w:p>
    <w:p>
      <w:pPr>
        <w:pStyle w:val="ListParagraph"/>
        <w:numPr>
          <w:ilvl w:val="0"/>
          <w:numId w:val="2"/>
        </w:numPr>
        <w:spacing w:after="40" w:before="40"/>
      </w:pPr>
      <w:r>
        <w:rPr>
          <w:rFonts w:ascii="Arial" w:cs="Arial" w:eastAsia="Arial" w:hAnsi="Arial"/>
          <w:sz w:val="22"/>
          <w:szCs w:val="22"/>
        </w:rPr>
        <w:t xml:space="preserve">Request for personal hearing if not already held</w:t>
      </w:r>
    </w:p>
    <w:p>
      <w:pPr>
        <w:spacing w:after="80" w:before="140"/>
      </w:pPr>
      <w:r>
        <w:rPr>
          <w:rFonts w:ascii="Arial" w:cs="Arial" w:eastAsia="Arial" w:hAnsi="Arial"/>
          <w:b/>
          <w:bCs/>
          <w:color w:val="E94560"/>
          <w:sz w:val="26"/>
          <w:szCs w:val="26"/>
        </w:rPr>
        <w:t xml:space="preserve">Requesting Personal Appearance Hearing</w:t>
      </w:r>
    </w:p>
    <w:p>
      <w:pPr>
        <w:spacing w:after="60" w:before="60"/>
      </w:pPr>
      <w:r>
        <w:rPr>
          <w:rFonts w:ascii="Arial" w:cs="Arial" w:eastAsia="Arial" w:hAnsi="Arial"/>
          <w:sz w:val="22"/>
          <w:szCs w:val="22"/>
        </w:rPr>
        <w:t xml:space="preserve">You can request hearing before Initial PEB (IPEB) or Appellate PEB (APEB). At hearing, you can:</w:t>
      </w:r>
    </w:p>
    <w:p>
      <w:pPr>
        <w:pStyle w:val="ListParagraph"/>
        <w:numPr>
          <w:ilvl w:val="0"/>
          <w:numId w:val="2"/>
        </w:numPr>
        <w:spacing w:after="40" w:before="40"/>
      </w:pPr>
      <w:r>
        <w:rPr>
          <w:rFonts w:ascii="Arial" w:cs="Arial" w:eastAsia="Arial" w:hAnsi="Arial"/>
          <w:sz w:val="22"/>
          <w:szCs w:val="22"/>
        </w:rPr>
        <w:t xml:space="preserve">Present your medical evidence</w:t>
      </w:r>
    </w:p>
    <w:p>
      <w:pPr>
        <w:pStyle w:val="ListParagraph"/>
        <w:numPr>
          <w:ilvl w:val="0"/>
          <w:numId w:val="2"/>
        </w:numPr>
        <w:spacing w:after="40" w:before="40"/>
      </w:pPr>
      <w:r>
        <w:rPr>
          <w:rFonts w:ascii="Arial" w:cs="Arial" w:eastAsia="Arial" w:hAnsi="Arial"/>
          <w:sz w:val="22"/>
          <w:szCs w:val="22"/>
        </w:rPr>
        <w:t xml:space="preserve">Testify about your functional limitations</w:t>
      </w:r>
    </w:p>
    <w:p>
      <w:pPr>
        <w:pStyle w:val="ListParagraph"/>
        <w:numPr>
          <w:ilvl w:val="0"/>
          <w:numId w:val="2"/>
        </w:numPr>
        <w:spacing w:after="40" w:before="40"/>
      </w:pPr>
      <w:r>
        <w:rPr>
          <w:rFonts w:ascii="Arial" w:cs="Arial" w:eastAsia="Arial" w:hAnsi="Arial"/>
          <w:sz w:val="22"/>
          <w:szCs w:val="22"/>
        </w:rPr>
        <w:t xml:space="preserve">Present witnesses (family, employers, medical providers)</w:t>
      </w:r>
    </w:p>
    <w:p>
      <w:pPr>
        <w:pStyle w:val="ListParagraph"/>
        <w:numPr>
          <w:ilvl w:val="0"/>
          <w:numId w:val="2"/>
        </w:numPr>
        <w:spacing w:after="40" w:before="40"/>
      </w:pPr>
      <w:r>
        <w:rPr>
          <w:rFonts w:ascii="Arial" w:cs="Arial" w:eastAsia="Arial" w:hAnsi="Arial"/>
          <w:sz w:val="22"/>
          <w:szCs w:val="22"/>
        </w:rPr>
        <w:t xml:space="preserve">Question PEB members and medical consultants</w:t>
      </w:r>
    </w:p>
    <w:p>
      <w:pPr>
        <w:pStyle w:val="ListParagraph"/>
        <w:numPr>
          <w:ilvl w:val="0"/>
          <w:numId w:val="2"/>
        </w:numPr>
        <w:spacing w:after="40" w:before="40"/>
      </w:pPr>
      <w:r>
        <w:rPr>
          <w:rFonts w:ascii="Arial" w:cs="Arial" w:eastAsia="Arial" w:hAnsi="Arial"/>
          <w:sz w:val="22"/>
          <w:szCs w:val="22"/>
        </w:rPr>
        <w:t xml:space="preserve">Have legal representative present</w:t>
      </w:r>
    </w:p>
    <w:p>
      <w:pPr>
        <w:pStyle w:val="Heading2"/>
        <w:spacing w:after="100" w:before="180"/>
      </w:pPr>
      <w:r>
        <w:rPr>
          <w:rFonts w:ascii="Arial" w:cs="Arial" w:eastAsia="Arial" w:hAnsi="Arial"/>
          <w:b/>
          <w:bCs/>
          <w:color w:val="0F3460"/>
          <w:sz w:val="28"/>
          <w:szCs w:val="28"/>
        </w:rPr>
        <w:t xml:space="preserve">After IDES Separation: Your VA Rating</w:t>
      </w:r>
    </w:p>
    <w:p>
      <w:pPr>
        <w:spacing w:after="60" w:before="60"/>
      </w:pPr>
      <w:r>
        <w:rPr>
          <w:rFonts w:ascii="Arial" w:cs="Arial" w:eastAsia="Arial" w:hAnsi="Arial"/>
          <w:sz w:val="22"/>
          <w:szCs w:val="22"/>
        </w:rPr>
        <w:t xml:space="preserve">Your VA rating from IDES becomes your permanent starting rating. You do not re-rate. Instead:</w:t>
      </w:r>
    </w:p>
    <w:p>
      <w:pPr>
        <w:pStyle w:val="ListParagraph"/>
        <w:numPr>
          <w:ilvl w:val="0"/>
          <w:numId w:val="3"/>
        </w:numPr>
        <w:spacing w:after="40" w:before="40"/>
      </w:pPr>
      <w:r>
        <w:rPr>
          <w:rFonts w:ascii="Arial" w:cs="Arial" w:eastAsia="Arial" w:hAnsi="Arial"/>
          <w:sz w:val="22"/>
          <w:szCs w:val="22"/>
        </w:rPr>
        <w:t xml:space="preserve">You receive VA disability compensation based on your rating</w:t>
      </w:r>
    </w:p>
    <w:p>
      <w:pPr>
        <w:pStyle w:val="ListParagraph"/>
        <w:numPr>
          <w:ilvl w:val="0"/>
          <w:numId w:val="3"/>
        </w:numPr>
        <w:spacing w:after="40" w:before="40"/>
      </w:pPr>
      <w:r>
        <w:rPr>
          <w:rFonts w:ascii="Arial" w:cs="Arial" w:eastAsia="Arial" w:hAnsi="Arial"/>
          <w:sz w:val="22"/>
          <w:szCs w:val="22"/>
        </w:rPr>
        <w:t xml:space="preserve">You can appeal your rating within one year if dissatisfied</w:t>
      </w:r>
    </w:p>
    <w:p>
      <w:pPr>
        <w:pStyle w:val="ListParagraph"/>
        <w:numPr>
          <w:ilvl w:val="0"/>
          <w:numId w:val="3"/>
        </w:numPr>
        <w:spacing w:after="40" w:before="40"/>
      </w:pPr>
      <w:r>
        <w:rPr>
          <w:rFonts w:ascii="Arial" w:cs="Arial" w:eastAsia="Arial" w:hAnsi="Arial"/>
          <w:sz w:val="22"/>
          <w:szCs w:val="22"/>
        </w:rPr>
        <w:t xml:space="preserve">You can file new claim for conditions not addressed in IDES</w:t>
      </w:r>
    </w:p>
    <w:p>
      <w:pPr>
        <w:pStyle w:val="ListParagraph"/>
        <w:numPr>
          <w:ilvl w:val="0"/>
          <w:numId w:val="3"/>
        </w:numPr>
        <w:spacing w:after="40" w:before="40"/>
      </w:pPr>
      <w:r>
        <w:rPr>
          <w:rFonts w:ascii="Arial" w:cs="Arial" w:eastAsia="Arial" w:hAnsi="Arial"/>
          <w:sz w:val="22"/>
          <w:szCs w:val="22"/>
        </w:rPr>
        <w:t xml:space="preserve">You can request TDIU evaluation if unable to work</w:t>
      </w:r>
    </w:p>
    <w:p>
      <w:pPr>
        <w:pStyle w:val="Heading2"/>
        <w:spacing w:after="100" w:before="180"/>
      </w:pPr>
      <w:r>
        <w:rPr>
          <w:rFonts w:ascii="Arial" w:cs="Arial" w:eastAsia="Arial" w:hAnsi="Arial"/>
          <w:b/>
          <w:bCs/>
          <w:color w:val="0F3460"/>
          <w:sz w:val="28"/>
          <w:szCs w:val="28"/>
        </w:rPr>
        <w:t xml:space="preserve">PDBR Appeal (15-Year Window)</w:t>
      </w:r>
    </w:p>
    <w:p>
      <w:pPr>
        <w:spacing w:after="60" w:before="60"/>
      </w:pPr>
      <w:r>
        <w:rPr>
          <w:rFonts w:ascii="Arial" w:cs="Arial" w:eastAsia="Arial" w:hAnsi="Arial"/>
          <w:sz w:val="22"/>
          <w:szCs w:val="22"/>
        </w:rPr>
        <w:t xml:space="preserve">If your PEB decision was unfair or legally incorrect, petition Physical Disability Board of Review within 15 years:</w:t>
      </w:r>
    </w:p>
    <w:p>
      <w:pPr>
        <w:pStyle w:val="ListParagraph"/>
        <w:numPr>
          <w:ilvl w:val="0"/>
          <w:numId w:val="2"/>
        </w:numPr>
        <w:spacing w:after="40" w:before="40"/>
      </w:pPr>
      <w:r>
        <w:rPr>
          <w:rFonts w:ascii="Arial" w:cs="Arial" w:eastAsia="Arial" w:hAnsi="Arial"/>
          <w:sz w:val="22"/>
          <w:szCs w:val="22"/>
        </w:rPr>
        <w:t xml:space="preserve">PDBR can increase your rating</w:t>
      </w:r>
    </w:p>
    <w:p>
      <w:pPr>
        <w:pStyle w:val="ListParagraph"/>
        <w:numPr>
          <w:ilvl w:val="0"/>
          <w:numId w:val="2"/>
        </w:numPr>
        <w:spacing w:after="40" w:before="40"/>
      </w:pPr>
      <w:r>
        <w:rPr>
          <w:rFonts w:ascii="Arial" w:cs="Arial" w:eastAsia="Arial" w:hAnsi="Arial"/>
          <w:sz w:val="22"/>
          <w:szCs w:val="22"/>
        </w:rPr>
        <w:t xml:space="preserve">PDBR can change retirement to permanent vice temporary</w:t>
      </w:r>
    </w:p>
    <w:p>
      <w:pPr>
        <w:pStyle w:val="ListParagraph"/>
        <w:numPr>
          <w:ilvl w:val="0"/>
          <w:numId w:val="2"/>
        </w:numPr>
        <w:spacing w:after="40" w:before="40"/>
      </w:pPr>
      <w:r>
        <w:rPr>
          <w:rFonts w:ascii="Arial" w:cs="Arial" w:eastAsia="Arial" w:hAnsi="Arial"/>
          <w:sz w:val="22"/>
          <w:szCs w:val="22"/>
        </w:rPr>
        <w:t xml:space="preserve">PDBR can reclassify conditions</w:t>
      </w:r>
    </w:p>
    <w:p>
      <w:pPr>
        <w:pStyle w:val="ListParagraph"/>
        <w:numPr>
          <w:ilvl w:val="0"/>
          <w:numId w:val="2"/>
        </w:numPr>
        <w:spacing w:after="40" w:before="40"/>
      </w:pPr>
      <w:r>
        <w:rPr>
          <w:rFonts w:ascii="Arial" w:cs="Arial" w:eastAsia="Arial" w:hAnsi="Arial"/>
          <w:sz w:val="22"/>
          <w:szCs w:val="22"/>
        </w:rPr>
        <w:t xml:space="preserve">PDBR assistance is free through VSO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2026-04-14T04:04:44.663Z</dcterms:created>
  <dcterms:modified xsi:type="dcterms:W3CDTF">2026-04-14T04:04:44.663Z</dcterms:modified>
</cp:coreProperties>
</file>

<file path=docProps/custom.xml><?xml version="1.0" encoding="utf-8"?>
<Properties xmlns="http://schemas.openxmlformats.org/officeDocument/2006/custom-properties" xmlns:vt="http://schemas.openxmlformats.org/officeDocument/2006/docPropsVTypes"/>
</file>