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double" w:color="E94560" w:sz="12" w:space="1"/>
        </w:pBdr>
        <w:spacing w:after="200" w:before="400"/>
        <w:jc w:val="center"/>
        <w:rPr>
          <w:rFonts w:ascii="Arial" w:cs="Arial" w:eastAsia="Arial" w:hAnsi="Arial"/>
          <w:b/>
          <w:bCs/>
          <w:color w:val="1A1A2E"/>
          <w:sz w:val="32"/>
          <w:szCs w:val="32"/>
        </w:rPr>
      </w:pPr>
      <w:r>
        <w:t xml:space="preserve">APPEALS STRATEGY GUIDE</w:t>
      </w:r>
    </w:p>
    <w:p>
      <w:pPr>
        <w:spacing w:after="400" w:before="0"/>
        <w:jc w:val="center"/>
        <w:rPr>
          <w:rFonts w:ascii="Arial" w:cs="Arial" w:eastAsia="Arial" w:hAnsi="Arial"/>
          <w:color w:val="0F3460"/>
          <w:sz w:val="20"/>
          <w:szCs w:val="20"/>
        </w:rPr>
      </w:pPr>
      <w:r>
        <w:t xml:space="preserve">Choose the Right Lane and Win Your Appeal</w:t>
      </w:r>
    </w:p>
    <w:p>
      <w:pPr>
        <w:spacing w:after="150" w:before="300"/>
        <w:rPr>
          <w:rFonts w:ascii="Arial" w:cs="Arial" w:eastAsia="Arial" w:hAnsi="Arial"/>
          <w:b/>
          <w:bCs/>
          <w:color w:val="1A1A2E"/>
          <w:sz w:val="24"/>
          <w:szCs w:val="24"/>
        </w:rPr>
      </w:pPr>
      <w:r>
        <w:t xml:space="preserve">The Three Appeal Lanes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Comparison of all three appeal options: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Feature</w:t>
            </w:r>
          </w:p>
        </w:tc>
        <w:tc>
          <w:tcPr>
            <w:tcW w:type="dxa" w:w="2340"/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Higher-Level Review</w:t>
            </w:r>
          </w:p>
        </w:tc>
        <w:tc>
          <w:tcPr>
            <w:tcW w:type="dxa" w:w="2340"/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Supplemental Claim</w:t>
            </w:r>
          </w:p>
        </w:tc>
        <w:tc>
          <w:tcPr>
            <w:tcW w:type="dxa" w:w="2340"/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pPr>
            <w:r>
              <w:t xml:space="preserve">Board Appeal</w:t>
            </w:r>
          </w:p>
        </w:tc>
      </w:tr>
      <w:tr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Form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20-0996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20-0995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10182</w:t>
            </w:r>
          </w:p>
        </w:tc>
      </w:tr>
      <w:tr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New evidence allowed?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NO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YES (required)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Depends on lane</w:t>
            </w:r>
          </w:p>
        </w:tc>
      </w:tr>
      <w:tr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Average timeline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90-120 days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120-180 days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12-24 months</w:t>
            </w:r>
          </w:p>
        </w:tc>
      </w:tr>
      <w:tr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Who reviews?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Senior rater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New rater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Veterans Law Judge</w:t>
            </w:r>
          </w:p>
        </w:tc>
      </w:tr>
      <w:tr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Best when...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Clear rater error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You have new evidence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Complex case, want hearing</w:t>
            </w:r>
          </w:p>
        </w:tc>
      </w:tr>
      <w:tr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Informal conference?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Yes (optional)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No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Hearing option available</w:t>
            </w:r>
          </w:p>
        </w:tc>
      </w:tr>
      <w:tr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Deadline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1 year from decision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1 year to preserve date</w:t>
            </w:r>
          </w:p>
        </w:tc>
        <w:tc>
          <w:tcPr>
            <w:tcW w:type="dxa" w:w="234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</w:pPr>
            <w:r>
              <w:t xml:space="preserve">1 year from decision</w:t>
            </w:r>
          </w:p>
        </w:tc>
      </w:tr>
    </w:tbl>
    <w:p>
      <w:pPr>
        <w:spacing w:after="200"/>
      </w:pPr>
    </w:p>
    <w:p>
      <w:pPr>
        <w:spacing w:after="150" w:before="300"/>
        <w:rPr>
          <w:rFonts w:ascii="Arial" w:cs="Arial" w:eastAsia="Arial" w:hAnsi="Arial"/>
          <w:b/>
          <w:bCs/>
          <w:color w:val="1A1A2E"/>
          <w:sz w:val="24"/>
          <w:szCs w:val="24"/>
        </w:rPr>
      </w:pPr>
      <w:r>
        <w:t xml:space="preserve">When to Use Each Lane</w:t>
      </w:r>
    </w:p>
    <w:p>
      <w:pPr>
        <w:spacing w:after="100" w:before="200"/>
        <w:rPr>
          <w:rFonts w:ascii="Arial" w:cs="Arial" w:eastAsia="Arial" w:hAnsi="Arial"/>
          <w:b/>
          <w:bCs/>
          <w:color w:val="E94560"/>
          <w:sz w:val="18"/>
          <w:szCs w:val="18"/>
        </w:rPr>
      </w:pPr>
      <w:r>
        <w:t xml:space="preserve">HIGHER-LEVEL REVIEW (HLR)</w:t>
      </w:r>
    </w:p>
    <w:p>
      <w:pPr>
        <w:spacing w:after="120" w:line="240"/>
        <w:rPr>
          <w:rFonts w:ascii="Arial" w:cs="Arial" w:eastAsia="Arial" w:hAnsi="Arial"/>
          <w:b/>
          <w:bCs/>
          <w:color w:val="000000"/>
          <w:sz w:val="22"/>
          <w:szCs w:val="22"/>
        </w:rPr>
      </w:pPr>
      <w:r>
        <w:t xml:space="preserve">Best for: clear and unmistakable error by the rater</w:t>
      </w:r>
    </w:p>
    <w:p>
      <w:pPr>
        <w:spacing w:after="120" w:line="240"/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</w:pPr>
      <w:r>
        <w:t xml:space="preserve">Error types to cite (22-Item Error Identification Checklist):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Duty to assist not fulfilled (38 CFR 3.159)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Benefit of doubt not applied (38 CFR 3.102)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Favorable evidence ignored or not discussed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Wrong rating criteria applied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Wrong diagnostic code used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Effective date error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Combined rating math error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C&amp;P exam inadequate (Barr v. Nicholson)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Favorable medical opinion not addressed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Lay evidence dismissed without explanation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Evidence of record not considered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Nexus opinion not adequately weighed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Bilateral factor not applied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Secondary condition not evaluated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Aggravation not considered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Protected rating improperly reduced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PTSD stressor not verified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Presumptive condition not considered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DeLuca factors not addressed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Medication side effects not rated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Staged ratings not considered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Extraschedular not referred</w:t>
      </w:r>
    </w:p>
    <w:p>
      <w:pPr>
        <w:spacing w:after="200"/>
      </w:pPr>
    </w:p>
    <w:p>
      <w:pPr>
        <w:spacing w:after="100" w:before="200"/>
        <w:rPr>
          <w:rFonts w:ascii="Arial" w:cs="Arial" w:eastAsia="Arial" w:hAnsi="Arial"/>
          <w:b/>
          <w:bCs/>
          <w:color w:val="E94560"/>
          <w:sz w:val="18"/>
          <w:szCs w:val="18"/>
        </w:rPr>
      </w:pPr>
      <w:r>
        <w:t xml:space="preserve">SUPPLEMENTAL CLAIM</w:t>
      </w:r>
    </w:p>
    <w:p>
      <w:pPr>
        <w:spacing w:after="120" w:line="240"/>
        <w:rPr>
          <w:rFonts w:ascii="Arial" w:cs="Arial" w:eastAsia="Arial" w:hAnsi="Arial"/>
          <w:b/>
          <w:bCs/>
          <w:color w:val="000000"/>
          <w:sz w:val="22"/>
          <w:szCs w:val="22"/>
        </w:rPr>
      </w:pPr>
      <w:r>
        <w:t xml:space="preserve">Best for: you have NEW evidence not previously in the file</w:t>
      </w:r>
    </w:p>
    <w:p>
      <w:pPr>
        <w:spacing w:after="120" w:line="240"/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</w:pPr>
      <w:r>
        <w:t xml:space="preserve">New evidence types that win:</w:t>
      </w:r>
    </w:p>
    <w:p>
      <w:pPr>
        <w:spacing w:after="80" w:line="240"/>
        <w:ind w:left="360" w:hanging="360"/>
        <w:rPr>
          <w:rFonts w:ascii="Arial" w:cs="Arial" w:eastAsia="Arial" w:hAnsi="Arial"/>
          <w:sz w:val="22"/>
          <w:szCs w:val="22"/>
        </w:rPr>
      </w:pPr>
      <w:r>
        <w:t xml:space="preserve">Updated nexus letter addressing denial rationale</w:t>
      </w:r>
    </w:p>
    <w:p>
      <w:pPr>
        <w:spacing w:after="80" w:line="240"/>
        <w:ind w:left="360" w:hanging="360"/>
        <w:rPr>
          <w:rFonts w:ascii="Arial" w:cs="Arial" w:eastAsia="Arial" w:hAnsi="Arial"/>
          <w:sz w:val="22"/>
          <w:szCs w:val="22"/>
        </w:rPr>
      </w:pPr>
      <w:r>
        <w:t xml:space="preserve">New medical records showing worsening</w:t>
      </w:r>
    </w:p>
    <w:p>
      <w:pPr>
        <w:spacing w:after="80" w:line="240"/>
        <w:ind w:left="360" w:hanging="360"/>
        <w:rPr>
          <w:rFonts w:ascii="Arial" w:cs="Arial" w:eastAsia="Arial" w:hAnsi="Arial"/>
          <w:sz w:val="22"/>
          <w:szCs w:val="22"/>
        </w:rPr>
      </w:pPr>
      <w:r>
        <w:t xml:space="preserve">New buddy statements</w:t>
      </w:r>
    </w:p>
    <w:p>
      <w:pPr>
        <w:spacing w:after="80" w:line="240"/>
        <w:ind w:left="360" w:hanging="360"/>
        <w:rPr>
          <w:rFonts w:ascii="Arial" w:cs="Arial" w:eastAsia="Arial" w:hAnsi="Arial"/>
          <w:sz w:val="22"/>
          <w:szCs w:val="22"/>
        </w:rPr>
      </w:pPr>
      <w:r>
        <w:t xml:space="preserve">Private IME/IMO addressing C&amp;P exam deficiencies</w:t>
      </w:r>
    </w:p>
    <w:p>
      <w:pPr>
        <w:spacing w:after="80" w:line="240"/>
        <w:ind w:left="360" w:hanging="360"/>
        <w:rPr>
          <w:rFonts w:ascii="Arial" w:cs="Arial" w:eastAsia="Arial" w:hAnsi="Arial"/>
          <w:sz w:val="22"/>
          <w:szCs w:val="22"/>
        </w:rPr>
      </w:pPr>
      <w:r>
        <w:t xml:space="preserve">Medical literature supporting connection</w:t>
      </w:r>
    </w:p>
    <w:p>
      <w:pPr>
        <w:spacing w:after="120" w:line="240"/>
        <w:rPr>
          <w:rFonts w:ascii="Arial" w:cs="Arial" w:eastAsia="Arial" w:hAnsi="Arial"/>
          <w:b/>
          <w:bCs/>
          <w:color w:val="E94560"/>
          <w:sz w:val="22"/>
          <w:szCs w:val="22"/>
        </w:rPr>
      </w:pPr>
      <w:r>
        <w:t xml:space="preserve">KEY: Must be "new and relevant" — evidence not previously in the record</w:t>
      </w:r>
    </w:p>
    <w:p>
      <w:pPr>
        <w:spacing w:after="200"/>
      </w:pPr>
    </w:p>
    <w:p>
      <w:pPr>
        <w:spacing w:after="100" w:before="200"/>
        <w:rPr>
          <w:rFonts w:ascii="Arial" w:cs="Arial" w:eastAsia="Arial" w:hAnsi="Arial"/>
          <w:b/>
          <w:bCs/>
          <w:color w:val="E94560"/>
          <w:sz w:val="18"/>
          <w:szCs w:val="18"/>
        </w:rPr>
      </w:pPr>
      <w:r>
        <w:t xml:space="preserve">BOARD APPEAL</w:t>
      </w:r>
    </w:p>
    <w:p>
      <w:pPr>
        <w:spacing w:after="120" w:line="240"/>
        <w:rPr>
          <w:rFonts w:ascii="Arial" w:cs="Arial" w:eastAsia="Arial" w:hAnsi="Arial"/>
          <w:b/>
          <w:bCs/>
          <w:color w:val="000000"/>
          <w:sz w:val="22"/>
          <w:szCs w:val="22"/>
        </w:rPr>
      </w:pPr>
      <w:r>
        <w:t xml:space="preserve">Best for: complex cases, multiple denials, want a hearing</w:t>
      </w:r>
    </w:p>
    <w:p>
      <w:pPr>
        <w:spacing w:after="120" w:line="240"/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</w:pPr>
      <w:r>
        <w:t xml:space="preserve">Three Board lanes:</w:t>
      </w:r>
    </w:p>
    <w:p>
      <w:pPr>
        <w:spacing w:after="80" w:line="240"/>
        <w:ind w:left="360" w:hanging="360"/>
        <w:rPr>
          <w:rFonts w:ascii="Arial" w:cs="Arial" w:eastAsia="Arial" w:hAnsi="Arial"/>
          <w:sz w:val="22"/>
          <w:szCs w:val="22"/>
        </w:rPr>
      </w:pPr>
      <w:r>
        <w:t xml:space="preserve">Direct Review (no new evidence, no hearing)</w:t>
      </w:r>
    </w:p>
    <w:p>
      <w:pPr>
        <w:spacing w:after="80" w:line="240"/>
        <w:ind w:left="360" w:hanging="360"/>
        <w:rPr>
          <w:rFonts w:ascii="Arial" w:cs="Arial" w:eastAsia="Arial" w:hAnsi="Arial"/>
          <w:sz w:val="22"/>
          <w:szCs w:val="22"/>
        </w:rPr>
      </w:pPr>
      <w:r>
        <w:t xml:space="preserve">Evidence Submission (new evidence, no hearing)</w:t>
      </w:r>
    </w:p>
    <w:p>
      <w:pPr>
        <w:spacing w:after="80" w:line="240"/>
        <w:ind w:left="360" w:hanging="360"/>
        <w:rPr>
          <w:rFonts w:ascii="Arial" w:cs="Arial" w:eastAsia="Arial" w:hAnsi="Arial"/>
          <w:sz w:val="22"/>
          <w:szCs w:val="22"/>
        </w:rPr>
      </w:pPr>
      <w:r>
        <w:t xml:space="preserve">Hearing (new evidence + live testimony before VLJ)</w:t>
      </w:r>
    </w:p>
    <w:p>
      <w:pPr>
        <w:spacing w:after="200"/>
      </w:pPr>
    </w:p>
    <w:p>
      <w:pPr>
        <w:spacing w:after="150" w:before="300"/>
        <w:rPr>
          <w:rFonts w:ascii="Arial" w:cs="Arial" w:eastAsia="Arial" w:hAnsi="Arial"/>
          <w:b/>
          <w:bCs/>
          <w:color w:val="1A1A2E"/>
          <w:sz w:val="24"/>
          <w:szCs w:val="24"/>
        </w:rPr>
      </w:pPr>
      <w:r>
        <w:t xml:space="preserve">Appeal Preparation Checklist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Decision letter read and audited (use Decoder)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Denial rationale identified and written down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Appeal lane selected with VSO input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New evidence identified (if Supplemental or Board)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Correct form completed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VSO reviewed appeal package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Filed within 1-year deadline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Confirmation of filing obtained</w:t>
      </w:r>
    </w:p>
    <w:p>
      <w:pPr>
        <w:spacing w:after="80" w:line="240"/>
        <w:ind w:left="360" w:hanging="0"/>
        <w:rPr>
          <w:rFonts w:ascii="Arial" w:cs="Arial" w:eastAsia="Arial" w:hAnsi="Arial"/>
          <w:sz w:val="22"/>
          <w:szCs w:val="22"/>
        </w:rPr>
      </w:pPr>
      <w:r>
        <w:t xml:space="preserve">☐ Appeal deadline noted: ___/___/______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2026-04-13T04:11:16.504Z</dcterms:created>
  <dcterms:modified xsi:type="dcterms:W3CDTF">2026-04-13T04:11:16.504Z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